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ED" w:rsidRPr="001C25ED" w:rsidRDefault="001C25ED" w:rsidP="001C25ED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1C25ED">
        <w:rPr>
          <w:b/>
          <w:bCs/>
          <w:sz w:val="22"/>
          <w:szCs w:val="22"/>
        </w:rPr>
        <w:t>Сообщение о существенном факте</w:t>
      </w:r>
    </w:p>
    <w:p w:rsidR="001C25ED" w:rsidRPr="001C25ED" w:rsidRDefault="001C25ED" w:rsidP="001C25ED">
      <w:pPr>
        <w:jc w:val="center"/>
        <w:rPr>
          <w:b/>
          <w:bCs/>
          <w:sz w:val="22"/>
          <w:szCs w:val="22"/>
        </w:rPr>
      </w:pPr>
      <w:r w:rsidRPr="001C25ED">
        <w:rPr>
          <w:b/>
          <w:bCs/>
          <w:sz w:val="22"/>
          <w:szCs w:val="22"/>
        </w:rPr>
        <w:t>«Сведения, оказывающие, по мнению эмитента, существенное влияние на стоимость его</w:t>
      </w:r>
    </w:p>
    <w:p w:rsidR="00C333AE" w:rsidRPr="005C17DF" w:rsidRDefault="001C25ED" w:rsidP="001C25ED">
      <w:pPr>
        <w:jc w:val="center"/>
        <w:rPr>
          <w:b/>
          <w:bCs/>
          <w:sz w:val="22"/>
          <w:szCs w:val="22"/>
        </w:rPr>
      </w:pPr>
      <w:r w:rsidRPr="001C25ED">
        <w:rPr>
          <w:b/>
          <w:bCs/>
          <w:sz w:val="22"/>
          <w:szCs w:val="22"/>
        </w:rPr>
        <w:t>эмиссионных ценных бу</w:t>
      </w:r>
      <w:r>
        <w:rPr>
          <w:b/>
          <w:bCs/>
          <w:sz w:val="22"/>
          <w:szCs w:val="22"/>
        </w:rPr>
        <w:t>маг»</w:t>
      </w:r>
    </w:p>
    <w:p w:rsidR="0055770F" w:rsidRDefault="0055770F" w:rsidP="00935A4B">
      <w:pPr>
        <w:jc w:val="center"/>
        <w:rPr>
          <w:b/>
          <w:bCs/>
          <w:sz w:val="22"/>
          <w:szCs w:val="22"/>
        </w:rPr>
      </w:pPr>
    </w:p>
    <w:tbl>
      <w:tblPr>
        <w:tblW w:w="1063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6"/>
        <w:gridCol w:w="448"/>
        <w:gridCol w:w="293"/>
        <w:gridCol w:w="1318"/>
        <w:gridCol w:w="415"/>
        <w:gridCol w:w="307"/>
        <w:gridCol w:w="553"/>
        <w:gridCol w:w="426"/>
        <w:gridCol w:w="1842"/>
        <w:gridCol w:w="426"/>
        <w:gridCol w:w="2835"/>
        <w:gridCol w:w="283"/>
      </w:tblGrid>
      <w:tr w:rsidR="006D0410" w:rsidRPr="00C674C6" w:rsidTr="00324611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12"/>
          </w:tcPr>
          <w:p w:rsidR="006D0410" w:rsidRPr="00C674C6" w:rsidRDefault="006D0410">
            <w:pPr>
              <w:jc w:val="center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1. Общие сведения</w:t>
            </w:r>
          </w:p>
        </w:tc>
      </w:tr>
      <w:tr w:rsidR="004A3982" w:rsidRPr="00C674C6" w:rsidTr="00A10150">
        <w:tblPrEx>
          <w:tblCellMar>
            <w:top w:w="0" w:type="dxa"/>
            <w:bottom w:w="0" w:type="dxa"/>
          </w:tblCellMar>
        </w:tblPrEx>
        <w:tc>
          <w:tcPr>
            <w:tcW w:w="5246" w:type="dxa"/>
            <w:gridSpan w:val="8"/>
          </w:tcPr>
          <w:p w:rsidR="004A3982" w:rsidRPr="00C674C6" w:rsidRDefault="004A3982" w:rsidP="00EA6304">
            <w:pPr>
              <w:ind w:left="85" w:right="85"/>
              <w:jc w:val="both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 xml:space="preserve">1.1. Полное фирменное наименование эмитента </w:t>
            </w:r>
          </w:p>
        </w:tc>
        <w:tc>
          <w:tcPr>
            <w:tcW w:w="5386" w:type="dxa"/>
            <w:gridSpan w:val="4"/>
            <w:vAlign w:val="center"/>
          </w:tcPr>
          <w:p w:rsidR="004A3982" w:rsidRPr="00892FCE" w:rsidRDefault="004A3982" w:rsidP="00A10150">
            <w:pPr>
              <w:ind w:left="-28" w:right="85"/>
              <w:rPr>
                <w:b/>
                <w:bCs/>
                <w:sz w:val="22"/>
                <w:szCs w:val="22"/>
              </w:rPr>
            </w:pPr>
            <w:r w:rsidRPr="00CE65AF">
              <w:rPr>
                <w:b/>
                <w:bCs/>
                <w:sz w:val="22"/>
                <w:szCs w:val="22"/>
              </w:rPr>
              <w:t xml:space="preserve">Акционерное общество Банк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Pr="00CE65AF">
              <w:rPr>
                <w:b/>
                <w:bCs/>
                <w:sz w:val="22"/>
                <w:szCs w:val="22"/>
              </w:rPr>
              <w:t>Национальный стандарт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4A3982" w:rsidRPr="00C674C6" w:rsidTr="00A10150">
        <w:tblPrEx>
          <w:tblCellMar>
            <w:top w:w="0" w:type="dxa"/>
            <w:bottom w:w="0" w:type="dxa"/>
          </w:tblCellMar>
        </w:tblPrEx>
        <w:tc>
          <w:tcPr>
            <w:tcW w:w="5246" w:type="dxa"/>
            <w:gridSpan w:val="8"/>
          </w:tcPr>
          <w:p w:rsidR="004A3982" w:rsidRPr="00C674C6" w:rsidRDefault="004A3982">
            <w:pPr>
              <w:ind w:left="85" w:right="85"/>
              <w:jc w:val="both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  <w:gridSpan w:val="4"/>
            <w:vAlign w:val="center"/>
          </w:tcPr>
          <w:p w:rsidR="004A3982" w:rsidRPr="00CE65AF" w:rsidRDefault="004A3982" w:rsidP="00A10150">
            <w:pPr>
              <w:rPr>
                <w:b/>
                <w:sz w:val="22"/>
                <w:szCs w:val="22"/>
              </w:rPr>
            </w:pPr>
            <w:r w:rsidRPr="00CE65AF">
              <w:rPr>
                <w:b/>
                <w:sz w:val="22"/>
                <w:szCs w:val="22"/>
              </w:rPr>
              <w:t xml:space="preserve">АО Банк </w:t>
            </w:r>
            <w:r>
              <w:rPr>
                <w:b/>
                <w:sz w:val="22"/>
                <w:szCs w:val="22"/>
              </w:rPr>
              <w:t>«</w:t>
            </w:r>
            <w:r w:rsidRPr="00CE65AF">
              <w:rPr>
                <w:b/>
                <w:sz w:val="22"/>
                <w:szCs w:val="22"/>
              </w:rPr>
              <w:t>Национальный стандарт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4A3982" w:rsidRPr="00C674C6" w:rsidTr="00A10150">
        <w:tblPrEx>
          <w:tblCellMar>
            <w:top w:w="0" w:type="dxa"/>
            <w:bottom w:w="0" w:type="dxa"/>
          </w:tblCellMar>
        </w:tblPrEx>
        <w:tc>
          <w:tcPr>
            <w:tcW w:w="5246" w:type="dxa"/>
            <w:gridSpan w:val="8"/>
          </w:tcPr>
          <w:p w:rsidR="004A3982" w:rsidRPr="00C674C6" w:rsidRDefault="004A3982">
            <w:pPr>
              <w:ind w:left="85" w:right="85"/>
              <w:jc w:val="both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386" w:type="dxa"/>
            <w:gridSpan w:val="4"/>
            <w:vAlign w:val="center"/>
          </w:tcPr>
          <w:p w:rsidR="004A3982" w:rsidRPr="00CE65AF" w:rsidRDefault="004A3982" w:rsidP="00A10150">
            <w:pPr>
              <w:rPr>
                <w:b/>
                <w:sz w:val="22"/>
                <w:szCs w:val="22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115093, г. Москва, Партийный переулок, дом 1, корп. 57, стр. 2, 3</w:t>
            </w:r>
          </w:p>
        </w:tc>
      </w:tr>
      <w:tr w:rsidR="004A3982" w:rsidRPr="00C674C6" w:rsidTr="00FF4CAE">
        <w:tblPrEx>
          <w:tblCellMar>
            <w:top w:w="0" w:type="dxa"/>
            <w:bottom w:w="0" w:type="dxa"/>
          </w:tblCellMar>
        </w:tblPrEx>
        <w:tc>
          <w:tcPr>
            <w:tcW w:w="5246" w:type="dxa"/>
            <w:gridSpan w:val="8"/>
          </w:tcPr>
          <w:p w:rsidR="004A3982" w:rsidRPr="00C674C6" w:rsidRDefault="004A3982">
            <w:pPr>
              <w:ind w:left="85" w:right="85"/>
              <w:jc w:val="both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386" w:type="dxa"/>
            <w:gridSpan w:val="4"/>
            <w:vAlign w:val="center"/>
          </w:tcPr>
          <w:p w:rsidR="004A3982" w:rsidRPr="00CE65AF" w:rsidRDefault="004A3982" w:rsidP="00A10150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1157700006650</w:t>
            </w:r>
          </w:p>
        </w:tc>
      </w:tr>
      <w:tr w:rsidR="004A3982" w:rsidRPr="00C674C6" w:rsidTr="00FF4CAE">
        <w:tblPrEx>
          <w:tblCellMar>
            <w:top w:w="0" w:type="dxa"/>
            <w:bottom w:w="0" w:type="dxa"/>
          </w:tblCellMar>
        </w:tblPrEx>
        <w:tc>
          <w:tcPr>
            <w:tcW w:w="5246" w:type="dxa"/>
            <w:gridSpan w:val="8"/>
          </w:tcPr>
          <w:p w:rsidR="004A3982" w:rsidRPr="00C674C6" w:rsidRDefault="004A3982">
            <w:pPr>
              <w:ind w:left="85" w:right="85"/>
              <w:jc w:val="both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386" w:type="dxa"/>
            <w:gridSpan w:val="4"/>
            <w:vAlign w:val="center"/>
          </w:tcPr>
          <w:p w:rsidR="004A3982" w:rsidRPr="00CE65AF" w:rsidRDefault="004A3982" w:rsidP="00A10150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7750056688</w:t>
            </w:r>
          </w:p>
        </w:tc>
      </w:tr>
      <w:tr w:rsidR="004A3982" w:rsidRPr="00C674C6" w:rsidTr="00A10150">
        <w:tblPrEx>
          <w:tblCellMar>
            <w:top w:w="0" w:type="dxa"/>
            <w:bottom w:w="0" w:type="dxa"/>
          </w:tblCellMar>
        </w:tblPrEx>
        <w:tc>
          <w:tcPr>
            <w:tcW w:w="5246" w:type="dxa"/>
            <w:gridSpan w:val="8"/>
          </w:tcPr>
          <w:p w:rsidR="004A3982" w:rsidRPr="00C674C6" w:rsidRDefault="004A3982">
            <w:pPr>
              <w:ind w:left="85" w:right="85"/>
              <w:jc w:val="both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  <w:gridSpan w:val="4"/>
            <w:vAlign w:val="center"/>
          </w:tcPr>
          <w:p w:rsidR="004A3982" w:rsidRPr="00CE65AF" w:rsidRDefault="004A3982" w:rsidP="00A10150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4A3982" w:rsidRPr="00C674C6" w:rsidTr="00A10150">
        <w:tblPrEx>
          <w:tblCellMar>
            <w:top w:w="0" w:type="dxa"/>
            <w:bottom w:w="0" w:type="dxa"/>
          </w:tblCellMar>
        </w:tblPrEx>
        <w:tc>
          <w:tcPr>
            <w:tcW w:w="5246" w:type="dxa"/>
            <w:gridSpan w:val="8"/>
          </w:tcPr>
          <w:p w:rsidR="004A3982" w:rsidRPr="00C674C6" w:rsidRDefault="004A3982">
            <w:pPr>
              <w:ind w:left="85" w:right="85"/>
              <w:jc w:val="both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386" w:type="dxa"/>
            <w:gridSpan w:val="4"/>
            <w:vAlign w:val="center"/>
          </w:tcPr>
          <w:p w:rsidR="004A3982" w:rsidRPr="00CE65AF" w:rsidRDefault="004A3982" w:rsidP="00A10150">
            <w:pPr>
              <w:pStyle w:val="prilozhenie"/>
              <w:ind w:firstLine="0"/>
              <w:rPr>
                <w:b/>
                <w:color w:val="000000"/>
                <w:sz w:val="22"/>
                <w:szCs w:val="22"/>
              </w:rPr>
            </w:pPr>
            <w:hyperlink r:id="rId9" w:history="1"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http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://</w:t>
              </w:r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ns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-</w:t>
              </w:r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bank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.</w:t>
              </w:r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CE65AF">
              <w:rPr>
                <w:b/>
                <w:color w:val="000000"/>
                <w:sz w:val="22"/>
                <w:szCs w:val="22"/>
              </w:rPr>
              <w:t>;</w:t>
            </w:r>
          </w:p>
          <w:p w:rsidR="004A3982" w:rsidRPr="00892FCE" w:rsidRDefault="004A3982" w:rsidP="00A10150">
            <w:pPr>
              <w:rPr>
                <w:b/>
                <w:bCs/>
                <w:sz w:val="22"/>
                <w:szCs w:val="22"/>
              </w:rPr>
            </w:pP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CE65AF">
              <w:rPr>
                <w:b/>
                <w:color w:val="000000"/>
                <w:sz w:val="22"/>
                <w:szCs w:val="22"/>
              </w:rPr>
              <w:t>://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CE65AF">
              <w:rPr>
                <w:b/>
                <w:color w:val="000000"/>
                <w:sz w:val="22"/>
                <w:szCs w:val="22"/>
              </w:rPr>
              <w:t>-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r w:rsidRPr="00CE65AF">
              <w:rPr>
                <w:b/>
                <w:color w:val="000000"/>
                <w:sz w:val="22"/>
                <w:szCs w:val="22"/>
              </w:rPr>
              <w:t>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CE65AF">
              <w:rPr>
                <w:b/>
                <w:color w:val="000000"/>
                <w:sz w:val="22"/>
                <w:szCs w:val="22"/>
              </w:rPr>
              <w:t>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r w:rsidRPr="00CE65AF">
              <w:rPr>
                <w:b/>
                <w:color w:val="000000"/>
                <w:sz w:val="22"/>
                <w:szCs w:val="22"/>
              </w:rPr>
              <w:t>?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CE65AF">
              <w:rPr>
                <w:b/>
                <w:color w:val="000000"/>
                <w:sz w:val="22"/>
                <w:szCs w:val="22"/>
              </w:rPr>
              <w:t>=27836</w:t>
            </w:r>
          </w:p>
        </w:tc>
      </w:tr>
      <w:tr w:rsidR="006D0410" w:rsidRPr="00C674C6" w:rsidTr="00324611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12"/>
          </w:tcPr>
          <w:p w:rsidR="006D0410" w:rsidRDefault="006D0410">
            <w:pPr>
              <w:jc w:val="center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2. Содержание сообщения</w:t>
            </w:r>
          </w:p>
          <w:p w:rsidR="001C25ED" w:rsidRPr="00224240" w:rsidRDefault="001C25ED" w:rsidP="008631A2">
            <w:pPr>
              <w:jc w:val="center"/>
              <w:rPr>
                <w:b/>
                <w:i/>
                <w:sz w:val="22"/>
                <w:szCs w:val="22"/>
              </w:rPr>
            </w:pPr>
            <w:r w:rsidRPr="00224240">
              <w:rPr>
                <w:b/>
                <w:i/>
                <w:sz w:val="22"/>
                <w:szCs w:val="22"/>
              </w:rPr>
              <w:t>О</w:t>
            </w:r>
            <w:r w:rsidR="00A00D5B">
              <w:rPr>
                <w:b/>
                <w:i/>
                <w:sz w:val="22"/>
                <w:szCs w:val="22"/>
              </w:rPr>
              <w:t>б итогах</w:t>
            </w:r>
            <w:r w:rsidRPr="00224240">
              <w:rPr>
                <w:b/>
                <w:i/>
                <w:sz w:val="22"/>
                <w:szCs w:val="22"/>
              </w:rPr>
              <w:t xml:space="preserve"> приобретени</w:t>
            </w:r>
            <w:r w:rsidR="00A00D5B">
              <w:rPr>
                <w:b/>
                <w:i/>
                <w:sz w:val="22"/>
                <w:szCs w:val="22"/>
              </w:rPr>
              <w:t>я</w:t>
            </w:r>
            <w:r w:rsidRPr="00224240">
              <w:rPr>
                <w:b/>
                <w:i/>
                <w:sz w:val="22"/>
                <w:szCs w:val="22"/>
              </w:rPr>
              <w:t xml:space="preserve"> биржевых облигаций по </w:t>
            </w:r>
            <w:r w:rsidR="008631A2">
              <w:rPr>
                <w:b/>
                <w:i/>
                <w:sz w:val="22"/>
                <w:szCs w:val="22"/>
              </w:rPr>
              <w:t>соглашению с их</w:t>
            </w:r>
            <w:r w:rsidRPr="00224240">
              <w:rPr>
                <w:b/>
                <w:i/>
                <w:sz w:val="22"/>
                <w:szCs w:val="22"/>
              </w:rPr>
              <w:t xml:space="preserve"> владельц</w:t>
            </w:r>
            <w:r w:rsidR="008631A2">
              <w:rPr>
                <w:b/>
                <w:i/>
                <w:sz w:val="22"/>
                <w:szCs w:val="22"/>
              </w:rPr>
              <w:t>ами</w:t>
            </w:r>
          </w:p>
        </w:tc>
      </w:tr>
      <w:tr w:rsidR="006D0410" w:rsidRPr="00C674C6" w:rsidTr="00324611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12"/>
          </w:tcPr>
          <w:p w:rsidR="00A7346C" w:rsidRPr="002334C0" w:rsidRDefault="006D0410" w:rsidP="002334C0">
            <w:pPr>
              <w:tabs>
                <w:tab w:val="left" w:pos="10310"/>
              </w:tabs>
              <w:spacing w:beforeLines="30" w:before="72"/>
              <w:ind w:left="113" w:right="114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2.1</w:t>
            </w:r>
            <w:r w:rsidR="009D13C0" w:rsidRPr="009D13C0">
              <w:rPr>
                <w:sz w:val="22"/>
                <w:szCs w:val="22"/>
              </w:rPr>
              <w:t xml:space="preserve">. </w:t>
            </w:r>
            <w:proofErr w:type="gramStart"/>
            <w:r w:rsidR="00F2102C" w:rsidRPr="00F2102C">
              <w:rPr>
                <w:sz w:val="22"/>
                <w:szCs w:val="22"/>
              </w:rPr>
              <w:t>Краткое описание события (действия), наступление (совершение) которого, по мнению эмитента, оказывает влияние на стоимость его ценных бумаг:</w:t>
            </w:r>
            <w:r w:rsidR="00F2102C">
              <w:t xml:space="preserve"> </w:t>
            </w:r>
            <w:r w:rsidR="00A7346C">
              <w:rPr>
                <w:b/>
                <w:bCs/>
                <w:iCs/>
                <w:sz w:val="22"/>
                <w:szCs w:val="22"/>
              </w:rPr>
              <w:t xml:space="preserve">приобретение Эмитентом Биржевых облигаций по требованию владельцев, заявленным к приобретению в количестве </w:t>
            </w:r>
            <w:r w:rsidR="002334C0" w:rsidRPr="002334C0">
              <w:rPr>
                <w:b/>
                <w:bCs/>
                <w:iCs/>
                <w:sz w:val="22"/>
                <w:szCs w:val="22"/>
              </w:rPr>
              <w:t>10</w:t>
            </w:r>
            <w:r w:rsidR="002334C0" w:rsidRPr="002334C0">
              <w:rPr>
                <w:b/>
                <w:bCs/>
                <w:iCs/>
                <w:sz w:val="22"/>
                <w:szCs w:val="22"/>
                <w:lang w:val="en-US"/>
              </w:rPr>
              <w:t> </w:t>
            </w:r>
            <w:r w:rsidR="002334C0" w:rsidRPr="002334C0">
              <w:rPr>
                <w:b/>
                <w:bCs/>
                <w:iCs/>
                <w:sz w:val="22"/>
                <w:szCs w:val="22"/>
              </w:rPr>
              <w:t xml:space="preserve">105 </w:t>
            </w:r>
            <w:r w:rsidR="00A7346C" w:rsidRPr="002334C0">
              <w:rPr>
                <w:b/>
                <w:bCs/>
                <w:iCs/>
                <w:sz w:val="22"/>
                <w:szCs w:val="22"/>
              </w:rPr>
              <w:t>(</w:t>
            </w:r>
            <w:r w:rsidR="002334C0" w:rsidRPr="002334C0">
              <w:rPr>
                <w:b/>
                <w:bCs/>
                <w:iCs/>
                <w:sz w:val="22"/>
                <w:szCs w:val="22"/>
              </w:rPr>
              <w:t>Десять тысяч сто пять</w:t>
            </w:r>
            <w:r w:rsidR="00A7346C" w:rsidRPr="002334C0">
              <w:rPr>
                <w:b/>
                <w:bCs/>
                <w:iCs/>
                <w:sz w:val="22"/>
                <w:szCs w:val="22"/>
              </w:rPr>
              <w:t>)</w:t>
            </w:r>
            <w:r w:rsidR="00A7346C">
              <w:rPr>
                <w:b/>
                <w:bCs/>
                <w:iCs/>
                <w:sz w:val="22"/>
                <w:szCs w:val="22"/>
              </w:rPr>
              <w:t xml:space="preserve"> штук по цене, составляющей 100 (Сто) процентов от номинальной стоимости Биржевых облигаций, на общую сумму </w:t>
            </w:r>
            <w:r w:rsidR="002334C0" w:rsidRPr="002334C0">
              <w:rPr>
                <w:b/>
                <w:bCs/>
                <w:iCs/>
                <w:sz w:val="22"/>
                <w:szCs w:val="22"/>
              </w:rPr>
              <w:t>10</w:t>
            </w:r>
            <w:r w:rsidR="002334C0">
              <w:rPr>
                <w:b/>
                <w:bCs/>
                <w:iCs/>
                <w:sz w:val="22"/>
                <w:szCs w:val="22"/>
              </w:rPr>
              <w:t> </w:t>
            </w:r>
            <w:r w:rsidR="002334C0" w:rsidRPr="002334C0">
              <w:rPr>
                <w:b/>
                <w:bCs/>
                <w:iCs/>
                <w:sz w:val="22"/>
                <w:szCs w:val="22"/>
              </w:rPr>
              <w:t>114</w:t>
            </w:r>
            <w:r w:rsidR="002334C0">
              <w:rPr>
                <w:b/>
                <w:bCs/>
                <w:iCs/>
                <w:sz w:val="22"/>
                <w:szCs w:val="22"/>
              </w:rPr>
              <w:t xml:space="preserve"> 397</w:t>
            </w:r>
            <w:r w:rsidR="00A7346C" w:rsidRPr="002334C0">
              <w:rPr>
                <w:b/>
                <w:bCs/>
                <w:iCs/>
                <w:sz w:val="22"/>
                <w:szCs w:val="22"/>
              </w:rPr>
              <w:t>(</w:t>
            </w:r>
            <w:r w:rsidR="002334C0">
              <w:rPr>
                <w:b/>
                <w:bCs/>
                <w:iCs/>
                <w:sz w:val="22"/>
                <w:szCs w:val="22"/>
              </w:rPr>
              <w:t>Десять миллионов сто четырнадцать тысяч триста девяносто</w:t>
            </w:r>
            <w:proofErr w:type="gramEnd"/>
            <w:r w:rsidR="002334C0">
              <w:rPr>
                <w:b/>
                <w:bCs/>
                <w:iCs/>
                <w:sz w:val="22"/>
                <w:szCs w:val="22"/>
              </w:rPr>
              <w:t xml:space="preserve"> семь</w:t>
            </w:r>
            <w:r w:rsidR="00A7346C" w:rsidRPr="002334C0">
              <w:rPr>
                <w:b/>
                <w:bCs/>
                <w:iCs/>
                <w:sz w:val="22"/>
                <w:szCs w:val="22"/>
              </w:rPr>
              <w:t xml:space="preserve">) рублей </w:t>
            </w:r>
            <w:r w:rsidR="002334C0">
              <w:rPr>
                <w:b/>
                <w:bCs/>
                <w:iCs/>
                <w:sz w:val="22"/>
                <w:szCs w:val="22"/>
              </w:rPr>
              <w:t>65</w:t>
            </w:r>
            <w:r w:rsidR="00A7346C">
              <w:rPr>
                <w:b/>
                <w:bCs/>
                <w:iCs/>
                <w:sz w:val="22"/>
                <w:szCs w:val="22"/>
              </w:rPr>
              <w:t xml:space="preserve"> копе</w:t>
            </w:r>
            <w:r w:rsidR="002334C0">
              <w:rPr>
                <w:b/>
                <w:bCs/>
                <w:iCs/>
                <w:sz w:val="22"/>
                <w:szCs w:val="22"/>
              </w:rPr>
              <w:t>ек</w:t>
            </w:r>
            <w:r w:rsidR="00A7346C">
              <w:rPr>
                <w:b/>
                <w:bCs/>
                <w:iCs/>
                <w:sz w:val="22"/>
                <w:szCs w:val="22"/>
              </w:rPr>
              <w:t xml:space="preserve">, с учетом накопленного купонного дохода по Биржевым облигациям, рассчитанного на дату приобретения, в размере </w:t>
            </w:r>
            <w:r w:rsidR="009F5B08">
              <w:rPr>
                <w:b/>
                <w:bCs/>
                <w:iCs/>
                <w:sz w:val="22"/>
                <w:szCs w:val="22"/>
              </w:rPr>
              <w:t>9397</w:t>
            </w:r>
            <w:r w:rsidR="002334C0" w:rsidRPr="002334C0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A7346C" w:rsidRPr="002334C0">
              <w:rPr>
                <w:b/>
                <w:bCs/>
                <w:iCs/>
                <w:sz w:val="22"/>
                <w:szCs w:val="22"/>
              </w:rPr>
              <w:t>(</w:t>
            </w:r>
            <w:r w:rsidR="009F5B08">
              <w:rPr>
                <w:b/>
                <w:bCs/>
                <w:iCs/>
                <w:sz w:val="22"/>
                <w:szCs w:val="22"/>
              </w:rPr>
              <w:t>Девять тысяч триста девяносто семь</w:t>
            </w:r>
            <w:r w:rsidR="00A7346C" w:rsidRPr="002334C0">
              <w:rPr>
                <w:b/>
                <w:bCs/>
                <w:iCs/>
                <w:sz w:val="22"/>
                <w:szCs w:val="22"/>
              </w:rPr>
              <w:t xml:space="preserve">) рублей </w:t>
            </w:r>
            <w:r w:rsidR="009F5B08">
              <w:rPr>
                <w:b/>
                <w:bCs/>
                <w:iCs/>
                <w:sz w:val="22"/>
                <w:szCs w:val="22"/>
              </w:rPr>
              <w:t>65</w:t>
            </w:r>
            <w:r w:rsidR="00A7346C">
              <w:rPr>
                <w:b/>
                <w:bCs/>
                <w:iCs/>
                <w:sz w:val="22"/>
                <w:szCs w:val="22"/>
              </w:rPr>
              <w:t xml:space="preserve"> копе</w:t>
            </w:r>
            <w:r w:rsidR="002651E5">
              <w:rPr>
                <w:b/>
                <w:bCs/>
                <w:iCs/>
                <w:sz w:val="22"/>
                <w:szCs w:val="22"/>
              </w:rPr>
              <w:t>й</w:t>
            </w:r>
            <w:r w:rsidR="00A7346C">
              <w:rPr>
                <w:b/>
                <w:bCs/>
                <w:iCs/>
                <w:sz w:val="22"/>
                <w:szCs w:val="22"/>
              </w:rPr>
              <w:t>к</w:t>
            </w:r>
            <w:r w:rsidR="002651E5">
              <w:rPr>
                <w:b/>
                <w:bCs/>
                <w:iCs/>
                <w:sz w:val="22"/>
                <w:szCs w:val="22"/>
              </w:rPr>
              <w:t>и</w:t>
            </w:r>
            <w:r w:rsidR="00A7346C">
              <w:rPr>
                <w:b/>
                <w:bCs/>
                <w:iCs/>
                <w:sz w:val="22"/>
                <w:szCs w:val="22"/>
              </w:rPr>
              <w:t>. Обязательство по приобретению Эмитентом Биржевых облигаций по требованию с владельцами исполнено в полном объеме.</w:t>
            </w:r>
          </w:p>
          <w:p w:rsidR="00690B20" w:rsidRDefault="001C25ED" w:rsidP="00C5447C">
            <w:pPr>
              <w:tabs>
                <w:tab w:val="left" w:pos="10310"/>
              </w:tabs>
              <w:spacing w:beforeLines="30" w:before="72"/>
              <w:ind w:left="113" w:right="11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C25ED">
              <w:rPr>
                <w:sz w:val="22"/>
                <w:szCs w:val="22"/>
              </w:rPr>
              <w:t>2.2</w:t>
            </w:r>
            <w:r w:rsidRPr="001C25ED">
              <w:rPr>
                <w:b/>
                <w:bCs/>
                <w:i/>
                <w:iCs/>
                <w:sz w:val="22"/>
                <w:szCs w:val="22"/>
              </w:rPr>
              <w:t xml:space="preserve">. </w:t>
            </w:r>
            <w:r w:rsidR="00690B20" w:rsidRPr="00690B20">
              <w:rPr>
                <w:sz w:val="22"/>
                <w:szCs w:val="22"/>
              </w:rPr>
              <w:t xml:space="preserve">Вид, категория (тип) и иные идентификационные признаки таких ценных бумаг эмитента: </w:t>
            </w:r>
            <w:r w:rsidR="00690B20" w:rsidRPr="008631A2">
              <w:rPr>
                <w:b/>
                <w:bCs/>
                <w:iCs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</w:t>
            </w:r>
            <w:r w:rsidR="008631A2" w:rsidRPr="008631A2">
              <w:rPr>
                <w:b/>
                <w:bCs/>
                <w:iCs/>
                <w:sz w:val="22"/>
                <w:szCs w:val="22"/>
              </w:rPr>
              <w:t>1</w:t>
            </w:r>
            <w:r w:rsidR="00690B20" w:rsidRPr="008631A2">
              <w:rPr>
                <w:b/>
                <w:bCs/>
                <w:iCs/>
                <w:sz w:val="22"/>
                <w:szCs w:val="22"/>
              </w:rPr>
              <w:t xml:space="preserve"> с обязательным централизованным хранением (выше – Биржевые облигации), идентификационный номер 4В020</w:t>
            </w:r>
            <w:r w:rsidR="008631A2" w:rsidRPr="008631A2">
              <w:rPr>
                <w:b/>
                <w:bCs/>
                <w:iCs/>
                <w:sz w:val="22"/>
                <w:szCs w:val="22"/>
              </w:rPr>
              <w:t>1</w:t>
            </w:r>
            <w:r w:rsidR="00690B20" w:rsidRPr="008631A2">
              <w:rPr>
                <w:b/>
                <w:bCs/>
                <w:iCs/>
                <w:sz w:val="22"/>
                <w:szCs w:val="22"/>
              </w:rPr>
              <w:t>03421В от 10.06.2013.</w:t>
            </w:r>
            <w:r w:rsidR="00D15BBE">
              <w:rPr>
                <w:b/>
                <w:bCs/>
                <w:iCs/>
                <w:sz w:val="22"/>
                <w:szCs w:val="22"/>
              </w:rPr>
              <w:t xml:space="preserve">, </w:t>
            </w:r>
            <w:r w:rsidR="00D15BBE" w:rsidRPr="006F43DF">
              <w:rPr>
                <w:rFonts w:eastAsia="MS Mincho"/>
                <w:b/>
                <w:sz w:val="22"/>
                <w:szCs w:val="22"/>
                <w:lang w:eastAsia="ja-JP"/>
              </w:rPr>
              <w:t xml:space="preserve">код ISIN </w:t>
            </w:r>
            <w:r w:rsidR="00D15BBE" w:rsidRPr="00F05A49">
              <w:rPr>
                <w:rFonts w:eastAsia="MS Mincho"/>
                <w:b/>
                <w:sz w:val="22"/>
                <w:szCs w:val="22"/>
                <w:lang w:eastAsia="ja-JP"/>
              </w:rPr>
              <w:t>RU000A0JVH05</w:t>
            </w:r>
            <w:r w:rsidR="00D15BBE">
              <w:rPr>
                <w:rFonts w:eastAsia="MS Mincho"/>
                <w:b/>
                <w:sz w:val="22"/>
                <w:szCs w:val="22"/>
                <w:lang w:eastAsia="ja-JP"/>
              </w:rPr>
              <w:t>.</w:t>
            </w:r>
          </w:p>
          <w:p w:rsidR="008C7449" w:rsidRPr="008C7449" w:rsidRDefault="008C7449" w:rsidP="008C7449">
            <w:pPr>
              <w:tabs>
                <w:tab w:val="left" w:pos="10310"/>
              </w:tabs>
              <w:spacing w:beforeLines="30" w:before="72"/>
              <w:ind w:left="113" w:right="11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C7449">
              <w:rPr>
                <w:sz w:val="22"/>
                <w:szCs w:val="22"/>
              </w:rPr>
              <w:t>2.</w:t>
            </w:r>
            <w:r w:rsidR="00690B20">
              <w:rPr>
                <w:sz w:val="22"/>
                <w:szCs w:val="22"/>
              </w:rPr>
              <w:t>3</w:t>
            </w:r>
            <w:r w:rsidRPr="008C7449">
              <w:rPr>
                <w:sz w:val="22"/>
                <w:szCs w:val="22"/>
              </w:rPr>
              <w:t>. Дата наступления соответствующего события (совершения действия)</w:t>
            </w:r>
            <w:r w:rsidRPr="008C7449">
              <w:rPr>
                <w:bCs/>
                <w:iCs/>
                <w:sz w:val="22"/>
                <w:szCs w:val="22"/>
              </w:rPr>
              <w:t>: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45465C" w:rsidRPr="0045465C">
              <w:rPr>
                <w:b/>
                <w:bCs/>
                <w:iCs/>
                <w:sz w:val="22"/>
                <w:szCs w:val="22"/>
              </w:rPr>
              <w:t>1</w:t>
            </w:r>
            <w:r w:rsidR="003262D8">
              <w:rPr>
                <w:b/>
                <w:bCs/>
                <w:iCs/>
                <w:sz w:val="22"/>
                <w:szCs w:val="22"/>
              </w:rPr>
              <w:t>5</w:t>
            </w:r>
            <w:r w:rsidRPr="008631A2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3262D8">
              <w:rPr>
                <w:b/>
                <w:bCs/>
                <w:iCs/>
                <w:sz w:val="22"/>
                <w:szCs w:val="22"/>
              </w:rPr>
              <w:t>июн</w:t>
            </w:r>
            <w:r w:rsidR="00970519">
              <w:rPr>
                <w:b/>
                <w:bCs/>
                <w:iCs/>
                <w:sz w:val="22"/>
                <w:szCs w:val="22"/>
              </w:rPr>
              <w:t>я</w:t>
            </w:r>
            <w:r w:rsidRPr="008631A2">
              <w:rPr>
                <w:b/>
                <w:bCs/>
                <w:iCs/>
                <w:sz w:val="22"/>
                <w:szCs w:val="22"/>
              </w:rPr>
              <w:t xml:space="preserve"> 201</w:t>
            </w:r>
            <w:r w:rsidR="003262D8">
              <w:rPr>
                <w:b/>
                <w:bCs/>
                <w:iCs/>
                <w:sz w:val="22"/>
                <w:szCs w:val="22"/>
              </w:rPr>
              <w:t>8</w:t>
            </w:r>
            <w:r w:rsidRPr="008631A2">
              <w:rPr>
                <w:b/>
                <w:bCs/>
                <w:iCs/>
                <w:sz w:val="22"/>
                <w:szCs w:val="22"/>
              </w:rPr>
              <w:t xml:space="preserve"> года.</w:t>
            </w:r>
          </w:p>
          <w:p w:rsidR="00887F5E" w:rsidRPr="0034100E" w:rsidRDefault="00887F5E" w:rsidP="008C7449">
            <w:pPr>
              <w:spacing w:beforeLines="30" w:before="72"/>
              <w:ind w:left="114" w:right="255"/>
              <w:jc w:val="both"/>
              <w:rPr>
                <w:sz w:val="22"/>
                <w:szCs w:val="22"/>
              </w:rPr>
            </w:pPr>
          </w:p>
        </w:tc>
      </w:tr>
      <w:tr w:rsidR="006D0410" w:rsidRPr="00C674C6" w:rsidTr="003246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2" w:type="dxa"/>
            <w:gridSpan w:val="12"/>
          </w:tcPr>
          <w:p w:rsidR="006D0410" w:rsidRPr="00C674C6" w:rsidRDefault="006D0410">
            <w:pPr>
              <w:jc w:val="center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3. Подпись</w:t>
            </w:r>
          </w:p>
        </w:tc>
      </w:tr>
      <w:tr w:rsidR="00436616" w:rsidRPr="00C674C6" w:rsidTr="0032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71967" w:rsidRDefault="00436616" w:rsidP="00D71967">
            <w:pPr>
              <w:ind w:left="57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 xml:space="preserve">3.1. </w:t>
            </w:r>
            <w:r w:rsidR="00D71967" w:rsidRPr="00C674C6">
              <w:rPr>
                <w:sz w:val="22"/>
                <w:szCs w:val="22"/>
              </w:rPr>
              <w:t>Председател</w:t>
            </w:r>
            <w:r w:rsidR="00D71967">
              <w:rPr>
                <w:sz w:val="22"/>
                <w:szCs w:val="22"/>
              </w:rPr>
              <w:t>ь</w:t>
            </w:r>
            <w:r w:rsidR="00D71967" w:rsidRPr="00C674C6">
              <w:rPr>
                <w:sz w:val="22"/>
                <w:szCs w:val="22"/>
              </w:rPr>
              <w:t xml:space="preserve"> Правления</w:t>
            </w:r>
          </w:p>
          <w:p w:rsidR="00436616" w:rsidRPr="00C674C6" w:rsidRDefault="00D71967" w:rsidP="00D71967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А</w:t>
            </w:r>
            <w:r w:rsidRPr="00094D51">
              <w:rPr>
                <w:sz w:val="22"/>
                <w:szCs w:val="22"/>
              </w:rPr>
              <w:t>О Б</w:t>
            </w:r>
            <w:r>
              <w:rPr>
                <w:sz w:val="22"/>
                <w:szCs w:val="22"/>
              </w:rPr>
              <w:t>анк</w:t>
            </w:r>
            <w:r w:rsidRPr="00094D51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«</w:t>
            </w:r>
            <w:r w:rsidRPr="00094D51">
              <w:rPr>
                <w:sz w:val="22"/>
                <w:szCs w:val="22"/>
              </w:rPr>
              <w:t>Национальный стандарт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6616" w:rsidRPr="00C674C6" w:rsidRDefault="00436616" w:rsidP="004366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6616" w:rsidRPr="00C674C6" w:rsidRDefault="00436616" w:rsidP="0043661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36616" w:rsidRPr="00C674C6" w:rsidRDefault="00D71967" w:rsidP="00012A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 Захарова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36616" w:rsidRPr="00C674C6" w:rsidRDefault="00436616">
            <w:pPr>
              <w:rPr>
                <w:sz w:val="22"/>
                <w:szCs w:val="22"/>
              </w:rPr>
            </w:pPr>
          </w:p>
        </w:tc>
      </w:tr>
      <w:tr w:rsidR="006D0410" w:rsidRPr="00C674C6" w:rsidTr="0032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482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D0410" w:rsidRPr="00C674C6" w:rsidRDefault="006D041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D0410" w:rsidRPr="00C674C6" w:rsidRDefault="006D0410">
            <w:pPr>
              <w:jc w:val="center"/>
              <w:rPr>
                <w:sz w:val="22"/>
                <w:szCs w:val="22"/>
              </w:rPr>
            </w:pPr>
            <w:r w:rsidRPr="00C674C6">
              <w:rPr>
                <w:sz w:val="22"/>
                <w:szCs w:val="22"/>
              </w:rPr>
              <w:t>(подпись)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D0410" w:rsidRPr="00C674C6" w:rsidRDefault="006D041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D0410" w:rsidRPr="00C674C6" w:rsidRDefault="006D0410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0410" w:rsidRPr="00C674C6" w:rsidRDefault="006D0410">
            <w:pPr>
              <w:rPr>
                <w:sz w:val="22"/>
                <w:szCs w:val="22"/>
              </w:rPr>
            </w:pPr>
          </w:p>
        </w:tc>
      </w:tr>
      <w:tr w:rsidR="006D0410" w:rsidRPr="00C674C6" w:rsidTr="0032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6D0410" w:rsidRPr="00421B7E" w:rsidRDefault="006D0410">
            <w:pPr>
              <w:ind w:left="57"/>
              <w:rPr>
                <w:sz w:val="22"/>
                <w:szCs w:val="22"/>
              </w:rPr>
            </w:pPr>
            <w:r w:rsidRPr="00421B7E">
              <w:rPr>
                <w:sz w:val="22"/>
                <w:szCs w:val="22"/>
              </w:rPr>
              <w:t xml:space="preserve">3.2. Дата </w:t>
            </w:r>
            <w:r w:rsidR="007425F4" w:rsidRPr="00421B7E">
              <w:rPr>
                <w:sz w:val="22"/>
                <w:szCs w:val="22"/>
              </w:rPr>
              <w:t xml:space="preserve"> </w:t>
            </w:r>
            <w:r w:rsidR="004E3D1E" w:rsidRPr="00421B7E">
              <w:rPr>
                <w:sz w:val="22"/>
                <w:szCs w:val="22"/>
              </w:rPr>
              <w:t xml:space="preserve">      </w:t>
            </w:r>
            <w:r w:rsidRPr="00421B7E">
              <w:rPr>
                <w:sz w:val="22"/>
                <w:szCs w:val="22"/>
              </w:rPr>
              <w:t>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410" w:rsidRPr="00421B7E" w:rsidRDefault="0045465C" w:rsidP="003262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262D8">
              <w:rPr>
                <w:sz w:val="22"/>
                <w:szCs w:val="22"/>
              </w:rPr>
              <w:t>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410" w:rsidRPr="00421B7E" w:rsidRDefault="006D0410">
            <w:pPr>
              <w:rPr>
                <w:sz w:val="22"/>
                <w:szCs w:val="22"/>
              </w:rPr>
            </w:pPr>
            <w:r w:rsidRPr="00421B7E">
              <w:rPr>
                <w:sz w:val="22"/>
                <w:szCs w:val="22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410" w:rsidRPr="00421B7E" w:rsidRDefault="003262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</w:t>
            </w:r>
            <w:r w:rsidR="008631A2">
              <w:rPr>
                <w:sz w:val="22"/>
                <w:szCs w:val="22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410" w:rsidRPr="00421B7E" w:rsidRDefault="006D0410">
            <w:pPr>
              <w:jc w:val="right"/>
              <w:rPr>
                <w:sz w:val="22"/>
                <w:szCs w:val="22"/>
              </w:rPr>
            </w:pPr>
            <w:r w:rsidRPr="00421B7E">
              <w:rPr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D0410" w:rsidRPr="00421B7E" w:rsidRDefault="007425F4" w:rsidP="003262D8">
            <w:pPr>
              <w:rPr>
                <w:sz w:val="22"/>
                <w:szCs w:val="22"/>
              </w:rPr>
            </w:pPr>
            <w:r w:rsidRPr="00421B7E">
              <w:rPr>
                <w:sz w:val="22"/>
                <w:szCs w:val="22"/>
              </w:rPr>
              <w:t>1</w:t>
            </w:r>
            <w:r w:rsidR="003262D8">
              <w:rPr>
                <w:sz w:val="22"/>
                <w:szCs w:val="22"/>
              </w:rPr>
              <w:t>8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410" w:rsidRPr="00421B7E" w:rsidRDefault="006D0410">
            <w:pPr>
              <w:ind w:left="57"/>
              <w:rPr>
                <w:sz w:val="22"/>
                <w:szCs w:val="22"/>
              </w:rPr>
            </w:pPr>
            <w:proofErr w:type="gramStart"/>
            <w:r w:rsidRPr="00421B7E">
              <w:rPr>
                <w:sz w:val="22"/>
                <w:szCs w:val="22"/>
              </w:rPr>
              <w:t>г</w:t>
            </w:r>
            <w:proofErr w:type="gramEnd"/>
            <w:r w:rsidRPr="00421B7E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0410" w:rsidRPr="00C674C6" w:rsidRDefault="006D0410">
            <w:pPr>
              <w:jc w:val="center"/>
              <w:rPr>
                <w:sz w:val="22"/>
                <w:szCs w:val="22"/>
              </w:rPr>
            </w:pPr>
            <w:r w:rsidRPr="00421B7E">
              <w:rPr>
                <w:sz w:val="22"/>
                <w:szCs w:val="22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D0410" w:rsidRPr="00C674C6" w:rsidRDefault="006D0410">
            <w:pPr>
              <w:rPr>
                <w:sz w:val="22"/>
                <w:szCs w:val="22"/>
              </w:rPr>
            </w:pPr>
          </w:p>
        </w:tc>
      </w:tr>
      <w:tr w:rsidR="006D0410" w:rsidRPr="00C674C6" w:rsidTr="00324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D0410" w:rsidRPr="00C674C6" w:rsidRDefault="006D0410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410" w:rsidRPr="00C674C6" w:rsidRDefault="006D04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0410" w:rsidRPr="00C674C6" w:rsidRDefault="006D0410">
            <w:pPr>
              <w:rPr>
                <w:sz w:val="22"/>
                <w:szCs w:val="22"/>
              </w:rPr>
            </w:pPr>
          </w:p>
        </w:tc>
      </w:tr>
    </w:tbl>
    <w:p w:rsidR="006D0410" w:rsidRDefault="006D0410" w:rsidP="00E37D23">
      <w:pPr>
        <w:rPr>
          <w:sz w:val="21"/>
          <w:szCs w:val="21"/>
          <w:lang w:val="en-US"/>
        </w:rPr>
      </w:pPr>
    </w:p>
    <w:sectPr w:rsidR="006D0410" w:rsidSect="00D80411">
      <w:footerReference w:type="default" r:id="rId10"/>
      <w:pgSz w:w="11906" w:h="16838"/>
      <w:pgMar w:top="567" w:right="567" w:bottom="567" w:left="1134" w:header="397" w:footer="284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B60" w:rsidRDefault="00ED6B60">
      <w:r>
        <w:separator/>
      </w:r>
    </w:p>
  </w:endnote>
  <w:endnote w:type="continuationSeparator" w:id="0">
    <w:p w:rsidR="00ED6B60" w:rsidRDefault="00ED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6E5" w:rsidRDefault="001E46E5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7449">
      <w:rPr>
        <w:noProof/>
      </w:rPr>
      <w:t>2</w:t>
    </w:r>
    <w:r>
      <w:fldChar w:fldCharType="end"/>
    </w:r>
  </w:p>
  <w:p w:rsidR="001E46E5" w:rsidRDefault="001E46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B60" w:rsidRDefault="00ED6B60">
      <w:r>
        <w:separator/>
      </w:r>
    </w:p>
  </w:footnote>
  <w:footnote w:type="continuationSeparator" w:id="0">
    <w:p w:rsidR="00ED6B60" w:rsidRDefault="00ED6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36141"/>
    <w:multiLevelType w:val="hybridMultilevel"/>
    <w:tmpl w:val="D08E5C5C"/>
    <w:lvl w:ilvl="0" w:tplc="DAF454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A7D"/>
    <w:rsid w:val="00003BB5"/>
    <w:rsid w:val="00005C54"/>
    <w:rsid w:val="00012AFD"/>
    <w:rsid w:val="00012B96"/>
    <w:rsid w:val="000146F4"/>
    <w:rsid w:val="00016E02"/>
    <w:rsid w:val="00026657"/>
    <w:rsid w:val="00034E85"/>
    <w:rsid w:val="00042B35"/>
    <w:rsid w:val="0004322F"/>
    <w:rsid w:val="0004504B"/>
    <w:rsid w:val="000509B9"/>
    <w:rsid w:val="0005513C"/>
    <w:rsid w:val="0005540B"/>
    <w:rsid w:val="000605F5"/>
    <w:rsid w:val="000625E3"/>
    <w:rsid w:val="000657AA"/>
    <w:rsid w:val="000671B5"/>
    <w:rsid w:val="00070912"/>
    <w:rsid w:val="00092091"/>
    <w:rsid w:val="000A41D4"/>
    <w:rsid w:val="000C360E"/>
    <w:rsid w:val="000D2FB4"/>
    <w:rsid w:val="000D708A"/>
    <w:rsid w:val="000E27E4"/>
    <w:rsid w:val="000E55BF"/>
    <w:rsid w:val="000F1DB0"/>
    <w:rsid w:val="00134480"/>
    <w:rsid w:val="00135011"/>
    <w:rsid w:val="00140257"/>
    <w:rsid w:val="00150F63"/>
    <w:rsid w:val="00160972"/>
    <w:rsid w:val="00166BAB"/>
    <w:rsid w:val="0017135C"/>
    <w:rsid w:val="00172563"/>
    <w:rsid w:val="001901AC"/>
    <w:rsid w:val="00191804"/>
    <w:rsid w:val="00196A59"/>
    <w:rsid w:val="001B2A4F"/>
    <w:rsid w:val="001C25ED"/>
    <w:rsid w:val="001C3AE8"/>
    <w:rsid w:val="001D2399"/>
    <w:rsid w:val="001E13BF"/>
    <w:rsid w:val="001E1AAF"/>
    <w:rsid w:val="001E46E5"/>
    <w:rsid w:val="001E644E"/>
    <w:rsid w:val="001E6CF1"/>
    <w:rsid w:val="001E72B7"/>
    <w:rsid w:val="001F6C06"/>
    <w:rsid w:val="00200206"/>
    <w:rsid w:val="002063D8"/>
    <w:rsid w:val="0021300D"/>
    <w:rsid w:val="002140CB"/>
    <w:rsid w:val="00224240"/>
    <w:rsid w:val="002334C0"/>
    <w:rsid w:val="002365A1"/>
    <w:rsid w:val="002522E3"/>
    <w:rsid w:val="00264364"/>
    <w:rsid w:val="00265040"/>
    <w:rsid w:val="002651E5"/>
    <w:rsid w:val="002750A7"/>
    <w:rsid w:val="002A1991"/>
    <w:rsid w:val="002B3F02"/>
    <w:rsid w:val="002C3052"/>
    <w:rsid w:val="002C549B"/>
    <w:rsid w:val="002D3638"/>
    <w:rsid w:val="002D55A6"/>
    <w:rsid w:val="002D5CA7"/>
    <w:rsid w:val="002E107D"/>
    <w:rsid w:val="002F3881"/>
    <w:rsid w:val="00301D27"/>
    <w:rsid w:val="00307E12"/>
    <w:rsid w:val="00313812"/>
    <w:rsid w:val="00324611"/>
    <w:rsid w:val="00324A1F"/>
    <w:rsid w:val="003262D8"/>
    <w:rsid w:val="00334B1C"/>
    <w:rsid w:val="0034100E"/>
    <w:rsid w:val="00341848"/>
    <w:rsid w:val="00350BF9"/>
    <w:rsid w:val="003545B7"/>
    <w:rsid w:val="003617FB"/>
    <w:rsid w:val="00363ED1"/>
    <w:rsid w:val="0037060A"/>
    <w:rsid w:val="00375C4A"/>
    <w:rsid w:val="00381F2E"/>
    <w:rsid w:val="00384B37"/>
    <w:rsid w:val="00392359"/>
    <w:rsid w:val="00394F2B"/>
    <w:rsid w:val="0039622F"/>
    <w:rsid w:val="00396C4C"/>
    <w:rsid w:val="003A26D1"/>
    <w:rsid w:val="003A2BE3"/>
    <w:rsid w:val="003A3834"/>
    <w:rsid w:val="003C0014"/>
    <w:rsid w:val="003C680F"/>
    <w:rsid w:val="003D2132"/>
    <w:rsid w:val="003D3060"/>
    <w:rsid w:val="003E1242"/>
    <w:rsid w:val="003E494B"/>
    <w:rsid w:val="003F114E"/>
    <w:rsid w:val="003F12AE"/>
    <w:rsid w:val="0041105F"/>
    <w:rsid w:val="00417E4D"/>
    <w:rsid w:val="00421B7E"/>
    <w:rsid w:val="004229F8"/>
    <w:rsid w:val="00422F5B"/>
    <w:rsid w:val="00427555"/>
    <w:rsid w:val="00427567"/>
    <w:rsid w:val="00436616"/>
    <w:rsid w:val="00446405"/>
    <w:rsid w:val="0045465C"/>
    <w:rsid w:val="00456713"/>
    <w:rsid w:val="004643D4"/>
    <w:rsid w:val="004703DB"/>
    <w:rsid w:val="0047687D"/>
    <w:rsid w:val="00486533"/>
    <w:rsid w:val="004910E9"/>
    <w:rsid w:val="00494EA4"/>
    <w:rsid w:val="004A146D"/>
    <w:rsid w:val="004A3982"/>
    <w:rsid w:val="004B638C"/>
    <w:rsid w:val="004C271C"/>
    <w:rsid w:val="004C42AE"/>
    <w:rsid w:val="004D27C2"/>
    <w:rsid w:val="004E3D1E"/>
    <w:rsid w:val="004E4E1A"/>
    <w:rsid w:val="004F30BA"/>
    <w:rsid w:val="004F3789"/>
    <w:rsid w:val="004F49FF"/>
    <w:rsid w:val="004F58AC"/>
    <w:rsid w:val="004F5DDB"/>
    <w:rsid w:val="004F6016"/>
    <w:rsid w:val="004F77C5"/>
    <w:rsid w:val="005102A3"/>
    <w:rsid w:val="0051395C"/>
    <w:rsid w:val="00517622"/>
    <w:rsid w:val="00530633"/>
    <w:rsid w:val="005501A3"/>
    <w:rsid w:val="005548E9"/>
    <w:rsid w:val="0055770F"/>
    <w:rsid w:val="00573BE5"/>
    <w:rsid w:val="005757F1"/>
    <w:rsid w:val="00576D9B"/>
    <w:rsid w:val="0058275C"/>
    <w:rsid w:val="005861FE"/>
    <w:rsid w:val="005968FE"/>
    <w:rsid w:val="005A2518"/>
    <w:rsid w:val="005A286A"/>
    <w:rsid w:val="005B226C"/>
    <w:rsid w:val="005B3B5F"/>
    <w:rsid w:val="005C17DF"/>
    <w:rsid w:val="005C7988"/>
    <w:rsid w:val="005D06B1"/>
    <w:rsid w:val="005D6FB2"/>
    <w:rsid w:val="005E1047"/>
    <w:rsid w:val="005F55A3"/>
    <w:rsid w:val="005F7A70"/>
    <w:rsid w:val="0060061E"/>
    <w:rsid w:val="0060437D"/>
    <w:rsid w:val="006106D1"/>
    <w:rsid w:val="00611BA5"/>
    <w:rsid w:val="00643E48"/>
    <w:rsid w:val="006462F6"/>
    <w:rsid w:val="0065482A"/>
    <w:rsid w:val="00655F1D"/>
    <w:rsid w:val="00666D88"/>
    <w:rsid w:val="00671497"/>
    <w:rsid w:val="00673783"/>
    <w:rsid w:val="006851DD"/>
    <w:rsid w:val="00685472"/>
    <w:rsid w:val="00690B20"/>
    <w:rsid w:val="006B1D99"/>
    <w:rsid w:val="006B484C"/>
    <w:rsid w:val="006C0715"/>
    <w:rsid w:val="006C0909"/>
    <w:rsid w:val="006C0F14"/>
    <w:rsid w:val="006C29B3"/>
    <w:rsid w:val="006C5693"/>
    <w:rsid w:val="006D0410"/>
    <w:rsid w:val="006F6568"/>
    <w:rsid w:val="00700413"/>
    <w:rsid w:val="007219EA"/>
    <w:rsid w:val="00724D9C"/>
    <w:rsid w:val="007300DA"/>
    <w:rsid w:val="007425C3"/>
    <w:rsid w:val="007425F4"/>
    <w:rsid w:val="00746427"/>
    <w:rsid w:val="00764A95"/>
    <w:rsid w:val="0076740E"/>
    <w:rsid w:val="007805D3"/>
    <w:rsid w:val="007807D1"/>
    <w:rsid w:val="00781ED7"/>
    <w:rsid w:val="00784F7C"/>
    <w:rsid w:val="00785663"/>
    <w:rsid w:val="00786863"/>
    <w:rsid w:val="007B009B"/>
    <w:rsid w:val="007B4EF1"/>
    <w:rsid w:val="007B6FF2"/>
    <w:rsid w:val="007C1681"/>
    <w:rsid w:val="007C75D4"/>
    <w:rsid w:val="007C761D"/>
    <w:rsid w:val="007F3351"/>
    <w:rsid w:val="0080239F"/>
    <w:rsid w:val="00832F51"/>
    <w:rsid w:val="008435CB"/>
    <w:rsid w:val="00846467"/>
    <w:rsid w:val="00856119"/>
    <w:rsid w:val="008631A2"/>
    <w:rsid w:val="00867D49"/>
    <w:rsid w:val="0087070F"/>
    <w:rsid w:val="008771F5"/>
    <w:rsid w:val="00883D10"/>
    <w:rsid w:val="00887F5E"/>
    <w:rsid w:val="0089192B"/>
    <w:rsid w:val="008921C4"/>
    <w:rsid w:val="008A22B8"/>
    <w:rsid w:val="008B4B4E"/>
    <w:rsid w:val="008C1D90"/>
    <w:rsid w:val="008C7449"/>
    <w:rsid w:val="008C7679"/>
    <w:rsid w:val="008D6A7D"/>
    <w:rsid w:val="008F2B03"/>
    <w:rsid w:val="008F6C2B"/>
    <w:rsid w:val="0090139E"/>
    <w:rsid w:val="00902A3F"/>
    <w:rsid w:val="00903AA8"/>
    <w:rsid w:val="00911CB3"/>
    <w:rsid w:val="00913FE0"/>
    <w:rsid w:val="00934B6C"/>
    <w:rsid w:val="0093525D"/>
    <w:rsid w:val="00935A4B"/>
    <w:rsid w:val="00935ED7"/>
    <w:rsid w:val="009378AF"/>
    <w:rsid w:val="009401F1"/>
    <w:rsid w:val="009453F3"/>
    <w:rsid w:val="00945D45"/>
    <w:rsid w:val="009509C3"/>
    <w:rsid w:val="009558E2"/>
    <w:rsid w:val="00960757"/>
    <w:rsid w:val="00963419"/>
    <w:rsid w:val="00963DBB"/>
    <w:rsid w:val="00970519"/>
    <w:rsid w:val="00971FC9"/>
    <w:rsid w:val="00973EB4"/>
    <w:rsid w:val="00977B43"/>
    <w:rsid w:val="00983E95"/>
    <w:rsid w:val="009917A5"/>
    <w:rsid w:val="00995051"/>
    <w:rsid w:val="00995954"/>
    <w:rsid w:val="009A3117"/>
    <w:rsid w:val="009A6D7C"/>
    <w:rsid w:val="009B268E"/>
    <w:rsid w:val="009B2C25"/>
    <w:rsid w:val="009B5189"/>
    <w:rsid w:val="009B76E8"/>
    <w:rsid w:val="009C2DFC"/>
    <w:rsid w:val="009D13C0"/>
    <w:rsid w:val="009E2FD3"/>
    <w:rsid w:val="009F53C6"/>
    <w:rsid w:val="009F5B08"/>
    <w:rsid w:val="009F64E5"/>
    <w:rsid w:val="00A004E4"/>
    <w:rsid w:val="00A00D5B"/>
    <w:rsid w:val="00A10150"/>
    <w:rsid w:val="00A14408"/>
    <w:rsid w:val="00A21308"/>
    <w:rsid w:val="00A3180F"/>
    <w:rsid w:val="00A3371E"/>
    <w:rsid w:val="00A4714E"/>
    <w:rsid w:val="00A63F55"/>
    <w:rsid w:val="00A65485"/>
    <w:rsid w:val="00A72B78"/>
    <w:rsid w:val="00A731C2"/>
    <w:rsid w:val="00A7346C"/>
    <w:rsid w:val="00A821DB"/>
    <w:rsid w:val="00A86C6D"/>
    <w:rsid w:val="00A87589"/>
    <w:rsid w:val="00AA2E2A"/>
    <w:rsid w:val="00AB3C90"/>
    <w:rsid w:val="00AB5513"/>
    <w:rsid w:val="00AC2815"/>
    <w:rsid w:val="00AC496F"/>
    <w:rsid w:val="00AD3ED1"/>
    <w:rsid w:val="00AE4ED3"/>
    <w:rsid w:val="00AF44A9"/>
    <w:rsid w:val="00B1309F"/>
    <w:rsid w:val="00B146A7"/>
    <w:rsid w:val="00B259F1"/>
    <w:rsid w:val="00B36E23"/>
    <w:rsid w:val="00B42ABC"/>
    <w:rsid w:val="00B44F00"/>
    <w:rsid w:val="00B45380"/>
    <w:rsid w:val="00B568CE"/>
    <w:rsid w:val="00B678C0"/>
    <w:rsid w:val="00B75715"/>
    <w:rsid w:val="00B76850"/>
    <w:rsid w:val="00B77FDF"/>
    <w:rsid w:val="00B936A2"/>
    <w:rsid w:val="00B9445F"/>
    <w:rsid w:val="00BB1510"/>
    <w:rsid w:val="00BC42E5"/>
    <w:rsid w:val="00BC6654"/>
    <w:rsid w:val="00BE59F1"/>
    <w:rsid w:val="00BE6A40"/>
    <w:rsid w:val="00BF0B7C"/>
    <w:rsid w:val="00C04D87"/>
    <w:rsid w:val="00C1467C"/>
    <w:rsid w:val="00C1576A"/>
    <w:rsid w:val="00C1596B"/>
    <w:rsid w:val="00C2728D"/>
    <w:rsid w:val="00C333AE"/>
    <w:rsid w:val="00C43B5F"/>
    <w:rsid w:val="00C4470A"/>
    <w:rsid w:val="00C4530E"/>
    <w:rsid w:val="00C45BDF"/>
    <w:rsid w:val="00C5447C"/>
    <w:rsid w:val="00C63CC5"/>
    <w:rsid w:val="00C65327"/>
    <w:rsid w:val="00C674C6"/>
    <w:rsid w:val="00C74719"/>
    <w:rsid w:val="00C75546"/>
    <w:rsid w:val="00C81EDB"/>
    <w:rsid w:val="00C87E02"/>
    <w:rsid w:val="00C93B46"/>
    <w:rsid w:val="00C9515B"/>
    <w:rsid w:val="00CA02CA"/>
    <w:rsid w:val="00CA58C2"/>
    <w:rsid w:val="00CB42CA"/>
    <w:rsid w:val="00CD23D5"/>
    <w:rsid w:val="00CD454F"/>
    <w:rsid w:val="00CE3D11"/>
    <w:rsid w:val="00CE61FF"/>
    <w:rsid w:val="00CF1BD3"/>
    <w:rsid w:val="00CF6813"/>
    <w:rsid w:val="00D12621"/>
    <w:rsid w:val="00D15BBE"/>
    <w:rsid w:val="00D32130"/>
    <w:rsid w:val="00D368D9"/>
    <w:rsid w:val="00D40E06"/>
    <w:rsid w:val="00D4718C"/>
    <w:rsid w:val="00D701D3"/>
    <w:rsid w:val="00D71967"/>
    <w:rsid w:val="00D74DA8"/>
    <w:rsid w:val="00D80411"/>
    <w:rsid w:val="00D85BC1"/>
    <w:rsid w:val="00D94E2F"/>
    <w:rsid w:val="00DB12BA"/>
    <w:rsid w:val="00DB656A"/>
    <w:rsid w:val="00DB7CA9"/>
    <w:rsid w:val="00DC3202"/>
    <w:rsid w:val="00DC5C88"/>
    <w:rsid w:val="00DC7F5D"/>
    <w:rsid w:val="00E11B59"/>
    <w:rsid w:val="00E14C81"/>
    <w:rsid w:val="00E16668"/>
    <w:rsid w:val="00E23CD6"/>
    <w:rsid w:val="00E326F5"/>
    <w:rsid w:val="00E37D23"/>
    <w:rsid w:val="00E45843"/>
    <w:rsid w:val="00E477E6"/>
    <w:rsid w:val="00E47C4E"/>
    <w:rsid w:val="00E51AA3"/>
    <w:rsid w:val="00E63C56"/>
    <w:rsid w:val="00E63CEB"/>
    <w:rsid w:val="00E75AC7"/>
    <w:rsid w:val="00E818C1"/>
    <w:rsid w:val="00E86E1C"/>
    <w:rsid w:val="00E923AF"/>
    <w:rsid w:val="00EA6304"/>
    <w:rsid w:val="00EB1776"/>
    <w:rsid w:val="00EB4765"/>
    <w:rsid w:val="00EC0277"/>
    <w:rsid w:val="00EC3505"/>
    <w:rsid w:val="00EC3600"/>
    <w:rsid w:val="00ED20E4"/>
    <w:rsid w:val="00ED6B60"/>
    <w:rsid w:val="00EE6356"/>
    <w:rsid w:val="00EF3DF5"/>
    <w:rsid w:val="00F024F7"/>
    <w:rsid w:val="00F040F7"/>
    <w:rsid w:val="00F13DD3"/>
    <w:rsid w:val="00F2102C"/>
    <w:rsid w:val="00F2277D"/>
    <w:rsid w:val="00F22C85"/>
    <w:rsid w:val="00F24AE1"/>
    <w:rsid w:val="00F2704A"/>
    <w:rsid w:val="00F369E0"/>
    <w:rsid w:val="00F37FA1"/>
    <w:rsid w:val="00F50462"/>
    <w:rsid w:val="00F555D3"/>
    <w:rsid w:val="00F56C3E"/>
    <w:rsid w:val="00F57C63"/>
    <w:rsid w:val="00F632A8"/>
    <w:rsid w:val="00F64E5F"/>
    <w:rsid w:val="00F70334"/>
    <w:rsid w:val="00F76BB7"/>
    <w:rsid w:val="00F86BA1"/>
    <w:rsid w:val="00F91405"/>
    <w:rsid w:val="00FA66BD"/>
    <w:rsid w:val="00FB0752"/>
    <w:rsid w:val="00FE69F2"/>
    <w:rsid w:val="00FE7D54"/>
    <w:rsid w:val="00FF14A1"/>
    <w:rsid w:val="00FF264D"/>
    <w:rsid w:val="00FF4CAE"/>
    <w:rsid w:val="00FF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 w:cs="Times New Roman"/>
      <w:sz w:val="20"/>
      <w:szCs w:val="20"/>
    </w:rPr>
  </w:style>
  <w:style w:type="character" w:styleId="a7">
    <w:name w:val="Hyperlink"/>
    <w:uiPriority w:val="99"/>
    <w:rsid w:val="008D6A7D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166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16668"/>
    <w:rPr>
      <w:rFonts w:ascii="Tahoma" w:hAnsi="Tahoma" w:cs="Tahoma"/>
      <w:sz w:val="16"/>
      <w:szCs w:val="16"/>
    </w:rPr>
  </w:style>
  <w:style w:type="paragraph" w:customStyle="1" w:styleId="CharChar">
    <w:name w:val=" Знак Char Знак Char Знак Знак Знак Знак"/>
    <w:basedOn w:val="a"/>
    <w:rsid w:val="00F13DD3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 w:eastAsia="ru-RU"/>
    </w:rPr>
  </w:style>
  <w:style w:type="character" w:customStyle="1" w:styleId="SUBST">
    <w:name w:val="__SUBST"/>
    <w:rsid w:val="00422F5B"/>
    <w:rPr>
      <w:b/>
      <w:bCs/>
      <w:i/>
      <w:iCs/>
      <w:sz w:val="22"/>
      <w:szCs w:val="22"/>
    </w:rPr>
  </w:style>
  <w:style w:type="paragraph" w:customStyle="1" w:styleId="bt2">
    <w:name w:val="Основной текст.bt2"/>
    <w:basedOn w:val="a"/>
    <w:rsid w:val="00B936A2"/>
    <w:pPr>
      <w:widowControl w:val="0"/>
      <w:autoSpaceDE/>
      <w:autoSpaceDN/>
      <w:spacing w:before="40"/>
      <w:jc w:val="right"/>
    </w:pPr>
  </w:style>
  <w:style w:type="paragraph" w:styleId="aa">
    <w:name w:val="Normal (Web)"/>
    <w:basedOn w:val="a"/>
    <w:uiPriority w:val="99"/>
    <w:semiHidden/>
    <w:unhideWhenUsed/>
    <w:rsid w:val="00E477E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rilozhenie">
    <w:name w:val="prilozhenie"/>
    <w:basedOn w:val="a"/>
    <w:rsid w:val="004A3982"/>
    <w:pPr>
      <w:autoSpaceDE/>
      <w:autoSpaceDN/>
      <w:ind w:firstLine="709"/>
      <w:jc w:val="both"/>
    </w:pPr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 w:cs="Times New Roman"/>
      <w:sz w:val="20"/>
      <w:szCs w:val="20"/>
    </w:rPr>
  </w:style>
  <w:style w:type="character" w:styleId="a7">
    <w:name w:val="Hyperlink"/>
    <w:uiPriority w:val="99"/>
    <w:rsid w:val="008D6A7D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166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E16668"/>
    <w:rPr>
      <w:rFonts w:ascii="Tahoma" w:hAnsi="Tahoma" w:cs="Tahoma"/>
      <w:sz w:val="16"/>
      <w:szCs w:val="16"/>
    </w:rPr>
  </w:style>
  <w:style w:type="paragraph" w:customStyle="1" w:styleId="CharChar">
    <w:name w:val=" Знак Char Знак Char Знак Знак Знак Знак"/>
    <w:basedOn w:val="a"/>
    <w:rsid w:val="00F13DD3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 w:eastAsia="ru-RU"/>
    </w:rPr>
  </w:style>
  <w:style w:type="character" w:customStyle="1" w:styleId="SUBST">
    <w:name w:val="__SUBST"/>
    <w:rsid w:val="00422F5B"/>
    <w:rPr>
      <w:b/>
      <w:bCs/>
      <w:i/>
      <w:iCs/>
      <w:sz w:val="22"/>
      <w:szCs w:val="22"/>
    </w:rPr>
  </w:style>
  <w:style w:type="paragraph" w:customStyle="1" w:styleId="bt2">
    <w:name w:val="Основной текст.bt2"/>
    <w:basedOn w:val="a"/>
    <w:rsid w:val="00B936A2"/>
    <w:pPr>
      <w:widowControl w:val="0"/>
      <w:autoSpaceDE/>
      <w:autoSpaceDN/>
      <w:spacing w:before="40"/>
      <w:jc w:val="right"/>
    </w:pPr>
  </w:style>
  <w:style w:type="paragraph" w:styleId="aa">
    <w:name w:val="Normal (Web)"/>
    <w:basedOn w:val="a"/>
    <w:uiPriority w:val="99"/>
    <w:semiHidden/>
    <w:unhideWhenUsed/>
    <w:rsid w:val="00E477E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rilozhenie">
    <w:name w:val="prilozhenie"/>
    <w:basedOn w:val="a"/>
    <w:rsid w:val="004A3982"/>
    <w:pPr>
      <w:autoSpaceDE/>
      <w:autoSpaceDN/>
      <w:ind w:firstLine="709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ns-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CD5A6B3-EA3E-4B85-B038-F946FC09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Microsoft</Company>
  <LinksUpToDate>false</LinksUpToDate>
  <CharactersWithSpaces>2207</CharactersWithSpaces>
  <SharedDoc>false</SharedDoc>
  <HLinks>
    <vt:vector size="6" baseType="variant">
      <vt:variant>
        <vt:i4>4128813</vt:i4>
      </vt:variant>
      <vt:variant>
        <vt:i4>0</vt:i4>
      </vt:variant>
      <vt:variant>
        <vt:i4>0</vt:i4>
      </vt:variant>
      <vt:variant>
        <vt:i4>5</vt:i4>
      </vt:variant>
      <vt:variant>
        <vt:lpwstr>http://ns-bank.ru/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Киютина</cp:lastModifiedBy>
  <cp:revision>2</cp:revision>
  <cp:lastPrinted>2015-10-28T12:30:00Z</cp:lastPrinted>
  <dcterms:created xsi:type="dcterms:W3CDTF">2018-06-15T11:43:00Z</dcterms:created>
  <dcterms:modified xsi:type="dcterms:W3CDTF">2018-06-15T11:43:00Z</dcterms:modified>
</cp:coreProperties>
</file>