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627E16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627E16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51195" w:rsidRPr="00FD7530">
        <w:tc>
          <w:tcPr>
            <w:tcW w:w="4975" w:type="dxa"/>
          </w:tcPr>
          <w:p w:rsidR="00651195" w:rsidRPr="00651195" w:rsidRDefault="00651195" w:rsidP="00D62136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</w:t>
            </w:r>
            <w:r w:rsidR="00D62136">
              <w:rPr>
                <w:sz w:val="24"/>
                <w:szCs w:val="24"/>
              </w:rPr>
              <w:t>менимо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76" w:type="dxa"/>
          </w:tcPr>
          <w:p w:rsidR="00651195" w:rsidRDefault="00651195" w:rsidP="00713C09">
            <w:pPr>
              <w:ind w:left="57"/>
            </w:pPr>
          </w:p>
          <w:p w:rsidR="00651195" w:rsidRPr="00651195" w:rsidRDefault="00651195" w:rsidP="00713C09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14 ноября 2018</w:t>
            </w: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F1CC6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92E33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6F1CC6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6F1CC6">
              <w:rPr>
                <w:b/>
                <w:i/>
                <w:sz w:val="24"/>
                <w:szCs w:val="24"/>
              </w:rPr>
              <w:t>11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592E33">
              <w:rPr>
                <w:b/>
                <w:i/>
                <w:sz w:val="24"/>
                <w:szCs w:val="24"/>
              </w:rPr>
              <w:t>8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627E16" w:rsidRPr="00627E16" w:rsidRDefault="00627E16" w:rsidP="00627E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13C09">
              <w:rPr>
                <w:sz w:val="24"/>
                <w:szCs w:val="24"/>
              </w:rPr>
              <w:t xml:space="preserve"> </w:t>
            </w:r>
            <w:r w:rsidRPr="00713C09">
              <w:rPr>
                <w:sz w:val="24"/>
                <w:szCs w:val="24"/>
              </w:rPr>
              <w:t>Адрес страницы в сети Интернет</w:t>
            </w:r>
            <w:r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Pr="00627E16">
              <w:rPr>
                <w:sz w:val="24"/>
                <w:szCs w:val="24"/>
              </w:rPr>
              <w:t xml:space="preserve">: </w:t>
            </w:r>
            <w:hyperlink r:id="rId9" w:history="1">
              <w:r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7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10" w:history="1"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 w:rsidR="00627E16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713C09">
              <w:rPr>
                <w:sz w:val="24"/>
                <w:szCs w:val="24"/>
              </w:rPr>
              <w:t>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6F1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1CC6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6F1CC6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31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592E3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592E33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8" w:rsidRDefault="00562DA8" w:rsidP="00713C09">
      <w:r>
        <w:separator/>
      </w:r>
    </w:p>
  </w:endnote>
  <w:endnote w:type="continuationSeparator" w:id="0">
    <w:p w:rsidR="00562DA8" w:rsidRDefault="00562DA8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8" w:rsidRDefault="00562DA8" w:rsidP="00713C09">
      <w:r>
        <w:separator/>
      </w:r>
    </w:p>
  </w:footnote>
  <w:footnote w:type="continuationSeparator" w:id="0">
    <w:p w:rsidR="00562DA8" w:rsidRDefault="00562DA8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20BB4"/>
    <w:rsid w:val="00353E3E"/>
    <w:rsid w:val="0035464A"/>
    <w:rsid w:val="0036742A"/>
    <w:rsid w:val="003924E9"/>
    <w:rsid w:val="003B0166"/>
    <w:rsid w:val="003C3EF9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2DA8"/>
    <w:rsid w:val="00592E33"/>
    <w:rsid w:val="005A757E"/>
    <w:rsid w:val="005C162B"/>
    <w:rsid w:val="005C1FD2"/>
    <w:rsid w:val="005D29A6"/>
    <w:rsid w:val="00627E16"/>
    <w:rsid w:val="00633F09"/>
    <w:rsid w:val="00651195"/>
    <w:rsid w:val="006866A0"/>
    <w:rsid w:val="006A1491"/>
    <w:rsid w:val="006C0A07"/>
    <w:rsid w:val="006C1629"/>
    <w:rsid w:val="006D094A"/>
    <w:rsid w:val="006F1CC6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6213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27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6C8849C8</Template>
  <TotalTime>9</TotalTime>
  <Pages>1</Pages>
  <Words>212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Артемова Екатерина Андреевна</cp:lastModifiedBy>
  <cp:revision>6</cp:revision>
  <cp:lastPrinted>2018-11-12T05:32:00Z</cp:lastPrinted>
  <dcterms:created xsi:type="dcterms:W3CDTF">2018-11-12T05:30:00Z</dcterms:created>
  <dcterms:modified xsi:type="dcterms:W3CDTF">2018-11-12T08:24:00Z</dcterms:modified>
</cp:coreProperties>
</file>