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3613C2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ED44F1" w:rsidP="00ED44F1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01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ED44F1">
              <w:rPr>
                <w:sz w:val="24"/>
                <w:szCs w:val="24"/>
              </w:rPr>
              <w:t>01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ED44F1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ED44F1">
              <w:rPr>
                <w:sz w:val="24"/>
                <w:szCs w:val="24"/>
              </w:rPr>
              <w:t>02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ED44F1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 xml:space="preserve">Избрание Председательствующего на заседании Совета директоров АО Банк «Национальный стандарт». 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>Утверждение годовой бухгалтерской (финансовой) отчетности АО Банк «Национальный стандарт» за 2018 год.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>Утверждение годовой финансовой отчетности АО Банк «Национальный стандарт» за год, закончившийся 31 декабря 2018г., составленной  в соответствии с Международными стандартами финансовой отчетности.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 xml:space="preserve">Утверждение </w:t>
            </w:r>
            <w:r w:rsidR="003613C2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Pr="00ED44F1">
              <w:rPr>
                <w:sz w:val="24"/>
                <w:szCs w:val="24"/>
              </w:rPr>
              <w:t>одового отчета АО Банк «Национальный стандарт» за 2018 год.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>Утверждение лимитов и сигнальных значений регуляторного риска на 2019 год.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 xml:space="preserve">Утверждение Отчета Службы внутреннего аудита АО Банк «Национальный стандарт» </w:t>
            </w:r>
            <w:r w:rsidRPr="00ED44F1">
              <w:rPr>
                <w:sz w:val="24"/>
                <w:szCs w:val="24"/>
              </w:rPr>
              <w:br/>
              <w:t>по итогам работы за второе полугодие 2018 года и за 2018 год.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>Рассмотрение Изменений № 2, вносимых в Устав АО Банк «Национальный стандарт».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Pr="00ED44F1" w:rsidRDefault="00ED44F1" w:rsidP="00ED44F1">
            <w:pPr>
              <w:pStyle w:val="a3"/>
              <w:numPr>
                <w:ilvl w:val="0"/>
                <w:numId w:val="24"/>
              </w:numPr>
              <w:ind w:right="113"/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 xml:space="preserve">Актуализация перечня и размера лимитов, установленных Правлению Банка </w:t>
            </w:r>
            <w:r w:rsidRPr="00ED44F1">
              <w:rPr>
                <w:sz w:val="24"/>
                <w:szCs w:val="24"/>
              </w:rPr>
              <w:br/>
              <w:t xml:space="preserve">на совершение банковских операций. </w:t>
            </w:r>
          </w:p>
          <w:p w:rsidR="00ED44F1" w:rsidRPr="00ED44F1" w:rsidRDefault="00ED44F1" w:rsidP="00ED44F1">
            <w:pPr>
              <w:ind w:left="142"/>
              <w:jc w:val="both"/>
              <w:rPr>
                <w:sz w:val="24"/>
                <w:szCs w:val="24"/>
              </w:rPr>
            </w:pPr>
          </w:p>
          <w:p w:rsidR="00ED44F1" w:rsidRDefault="00ED44F1" w:rsidP="00ED44F1">
            <w:pPr>
              <w:pStyle w:val="a3"/>
              <w:numPr>
                <w:ilvl w:val="0"/>
                <w:numId w:val="24"/>
              </w:numPr>
              <w:spacing w:after="120"/>
              <w:ind w:hanging="357"/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>Утверждение Кредитной политики АО Банк «Национальный стандарт» в новой редакции.</w:t>
            </w:r>
          </w:p>
          <w:p w:rsidR="00ED44F1" w:rsidRPr="00ED44F1" w:rsidRDefault="00ED44F1" w:rsidP="00ED44F1">
            <w:pPr>
              <w:pStyle w:val="a3"/>
              <w:rPr>
                <w:sz w:val="24"/>
                <w:szCs w:val="24"/>
              </w:rPr>
            </w:pPr>
          </w:p>
          <w:p w:rsidR="005A3517" w:rsidRPr="00ED2487" w:rsidRDefault="00ED44F1" w:rsidP="00ED44F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>Предоставление согласия на совершение сделки с заинтересованностью.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ED44F1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ED44F1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D5E-2955-4409-AAFB-86BDAC9C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2019-04-01T12:45:00Z</cp:lastPrinted>
  <dcterms:created xsi:type="dcterms:W3CDTF">2019-04-01T12:43:00Z</dcterms:created>
  <dcterms:modified xsi:type="dcterms:W3CDTF">2019-04-01T12:46:00Z</dcterms:modified>
</cp:coreProperties>
</file>