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86" w:rsidRPr="00324629" w:rsidRDefault="00487486" w:rsidP="00503827">
      <w:pPr>
        <w:jc w:val="center"/>
        <w:rPr>
          <w:rFonts w:ascii="Arial" w:hAnsi="Arial" w:cs="Arial"/>
          <w:b/>
          <w:bCs/>
          <w:sz w:val="20"/>
          <w:szCs w:val="20"/>
        </w:rPr>
      </w:pPr>
      <w:r w:rsidRPr="00324629">
        <w:rPr>
          <w:rFonts w:ascii="Arial" w:hAnsi="Arial" w:cs="Arial"/>
          <w:b/>
          <w:bCs/>
          <w:sz w:val="20"/>
          <w:szCs w:val="20"/>
        </w:rPr>
        <w:t xml:space="preserve">Сообщение </w:t>
      </w:r>
    </w:p>
    <w:p w:rsidR="00487486" w:rsidRPr="00324629" w:rsidRDefault="00487486" w:rsidP="00362647">
      <w:pPr>
        <w:jc w:val="center"/>
        <w:rPr>
          <w:rFonts w:ascii="Arial" w:hAnsi="Arial" w:cs="Arial"/>
          <w:b/>
          <w:bCs/>
          <w:sz w:val="20"/>
          <w:szCs w:val="20"/>
        </w:rPr>
      </w:pPr>
      <w:r>
        <w:rPr>
          <w:rFonts w:ascii="Arial" w:hAnsi="Arial" w:cs="Arial"/>
          <w:b/>
          <w:bCs/>
          <w:sz w:val="20"/>
          <w:szCs w:val="20"/>
        </w:rPr>
        <w:t xml:space="preserve">о </w:t>
      </w:r>
      <w:r w:rsidRPr="00324629">
        <w:rPr>
          <w:rFonts w:ascii="Arial" w:hAnsi="Arial" w:cs="Arial"/>
          <w:b/>
          <w:bCs/>
          <w:sz w:val="20"/>
          <w:szCs w:val="20"/>
        </w:rPr>
        <w:t>цене размещения</w:t>
      </w:r>
      <w:r>
        <w:rPr>
          <w:rFonts w:ascii="Arial" w:hAnsi="Arial" w:cs="Arial"/>
          <w:b/>
          <w:bCs/>
          <w:sz w:val="20"/>
          <w:szCs w:val="20"/>
        </w:rPr>
        <w:t xml:space="preserve"> ценных бумаг</w:t>
      </w:r>
      <w:bookmarkStart w:id="0" w:name="_GoBack"/>
      <w:bookmarkEnd w:id="0"/>
    </w:p>
    <w:p w:rsidR="00487486" w:rsidRPr="00324629" w:rsidRDefault="00487486" w:rsidP="001B469A">
      <w:pPr>
        <w:jc w:val="center"/>
        <w:rPr>
          <w:rFonts w:ascii="Arial" w:hAnsi="Arial" w:cs="Arial"/>
          <w:b/>
          <w:bCs/>
          <w:sz w:val="20"/>
          <w:szCs w:val="20"/>
        </w:rPr>
      </w:pPr>
    </w:p>
    <w:tbl>
      <w:tblPr>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812"/>
      </w:tblGrid>
      <w:tr w:rsidR="00487486" w:rsidRPr="00324629">
        <w:tc>
          <w:tcPr>
            <w:tcW w:w="10207" w:type="dxa"/>
            <w:gridSpan w:val="2"/>
          </w:tcPr>
          <w:p w:rsidR="00487486" w:rsidRPr="00324629" w:rsidRDefault="00487486" w:rsidP="00BD21EA">
            <w:pPr>
              <w:jc w:val="center"/>
              <w:rPr>
                <w:rFonts w:ascii="Arial" w:hAnsi="Arial" w:cs="Arial"/>
                <w:b/>
                <w:bCs/>
                <w:sz w:val="20"/>
                <w:szCs w:val="20"/>
              </w:rPr>
            </w:pPr>
            <w:r w:rsidRPr="00324629">
              <w:rPr>
                <w:rFonts w:ascii="Arial" w:hAnsi="Arial" w:cs="Arial"/>
                <w:sz w:val="20"/>
                <w:szCs w:val="20"/>
              </w:rPr>
              <w:t>1. Общие сведения</w:t>
            </w:r>
          </w:p>
        </w:tc>
      </w:tr>
      <w:tr w:rsidR="00487486" w:rsidRPr="00324629">
        <w:tc>
          <w:tcPr>
            <w:tcW w:w="4395" w:type="dxa"/>
            <w:vAlign w:val="center"/>
          </w:tcPr>
          <w:p w:rsidR="00487486" w:rsidRPr="00324629" w:rsidRDefault="00487486" w:rsidP="00BD21EA">
            <w:pPr>
              <w:ind w:left="57" w:right="57"/>
              <w:rPr>
                <w:rFonts w:ascii="Arial" w:hAnsi="Arial" w:cs="Arial"/>
                <w:sz w:val="20"/>
                <w:szCs w:val="20"/>
              </w:rPr>
            </w:pPr>
            <w:r w:rsidRPr="00324629">
              <w:rPr>
                <w:rFonts w:ascii="Arial" w:hAnsi="Arial" w:cs="Arial"/>
                <w:snapToGrid w:val="0"/>
                <w:color w:val="000000"/>
                <w:sz w:val="20"/>
                <w:szCs w:val="20"/>
              </w:rPr>
              <w:t>1.1. Полное фирменное наименование эмитента (для некоммерческой организации — наименование)</w:t>
            </w:r>
          </w:p>
        </w:tc>
        <w:tc>
          <w:tcPr>
            <w:tcW w:w="5812" w:type="dxa"/>
            <w:vAlign w:val="center"/>
          </w:tcPr>
          <w:p w:rsidR="00487486" w:rsidRPr="00324629" w:rsidRDefault="00487486" w:rsidP="00E366AB">
            <w:pPr>
              <w:rPr>
                <w:rFonts w:ascii="Arial" w:hAnsi="Arial" w:cs="Arial"/>
                <w:b/>
                <w:bCs/>
                <w:sz w:val="20"/>
                <w:szCs w:val="20"/>
              </w:rPr>
            </w:pPr>
            <w:r w:rsidRPr="00324629">
              <w:rPr>
                <w:rFonts w:ascii="Arial" w:hAnsi="Arial" w:cs="Arial"/>
                <w:b/>
                <w:bCs/>
                <w:sz w:val="20"/>
                <w:szCs w:val="20"/>
              </w:rPr>
              <w:t xml:space="preserve">Общество с ограниченной ответственностью </w:t>
            </w:r>
          </w:p>
          <w:p w:rsidR="00487486" w:rsidRPr="00324629" w:rsidRDefault="00487486" w:rsidP="00E366AB">
            <w:pPr>
              <w:rPr>
                <w:rFonts w:ascii="Arial" w:hAnsi="Arial" w:cs="Arial"/>
                <w:b/>
                <w:bCs/>
                <w:sz w:val="20"/>
                <w:szCs w:val="20"/>
              </w:rPr>
            </w:pPr>
            <w:r w:rsidRPr="00324629">
              <w:rPr>
                <w:rFonts w:ascii="Arial" w:hAnsi="Arial" w:cs="Arial"/>
                <w:b/>
                <w:bCs/>
                <w:sz w:val="20"/>
                <w:szCs w:val="20"/>
              </w:rPr>
              <w:t>Коммерческий Банк "Национальный стандарт"</w:t>
            </w:r>
          </w:p>
        </w:tc>
      </w:tr>
      <w:tr w:rsidR="00487486" w:rsidRPr="00324629">
        <w:tc>
          <w:tcPr>
            <w:tcW w:w="4395" w:type="dxa"/>
            <w:vAlign w:val="center"/>
          </w:tcPr>
          <w:p w:rsidR="00487486" w:rsidRPr="00324629" w:rsidRDefault="00487486" w:rsidP="00BD21EA">
            <w:pPr>
              <w:ind w:left="57" w:right="57"/>
              <w:rPr>
                <w:rFonts w:ascii="Arial" w:hAnsi="Arial" w:cs="Arial"/>
                <w:sz w:val="20"/>
                <w:szCs w:val="20"/>
              </w:rPr>
            </w:pPr>
            <w:r w:rsidRPr="00324629">
              <w:rPr>
                <w:rFonts w:ascii="Arial" w:hAnsi="Arial" w:cs="Arial"/>
                <w:snapToGrid w:val="0"/>
                <w:color w:val="000000"/>
                <w:sz w:val="20"/>
                <w:szCs w:val="20"/>
              </w:rPr>
              <w:t>1.2. Сокращенное фирменное наименование эмитента</w:t>
            </w:r>
          </w:p>
        </w:tc>
        <w:tc>
          <w:tcPr>
            <w:tcW w:w="5812" w:type="dxa"/>
            <w:vAlign w:val="center"/>
          </w:tcPr>
          <w:p w:rsidR="00487486" w:rsidRPr="00324629" w:rsidRDefault="00487486" w:rsidP="00E366AB">
            <w:pPr>
              <w:rPr>
                <w:rFonts w:ascii="Arial" w:hAnsi="Arial" w:cs="Arial"/>
                <w:b/>
                <w:bCs/>
                <w:sz w:val="20"/>
                <w:szCs w:val="20"/>
              </w:rPr>
            </w:pPr>
            <w:r w:rsidRPr="00324629">
              <w:rPr>
                <w:rFonts w:ascii="Arial" w:hAnsi="Arial" w:cs="Arial"/>
                <w:b/>
                <w:bCs/>
                <w:sz w:val="20"/>
                <w:szCs w:val="20"/>
              </w:rPr>
              <w:t>ООО КБ "Национальный стандарт"</w:t>
            </w:r>
          </w:p>
        </w:tc>
      </w:tr>
      <w:tr w:rsidR="00487486" w:rsidRPr="00324629">
        <w:tc>
          <w:tcPr>
            <w:tcW w:w="4395" w:type="dxa"/>
            <w:vAlign w:val="center"/>
          </w:tcPr>
          <w:p w:rsidR="00487486" w:rsidRPr="00324629" w:rsidRDefault="00487486" w:rsidP="00BD21EA">
            <w:pPr>
              <w:ind w:left="57" w:right="57"/>
              <w:rPr>
                <w:rFonts w:ascii="Arial" w:hAnsi="Arial" w:cs="Arial"/>
                <w:sz w:val="20"/>
                <w:szCs w:val="20"/>
              </w:rPr>
            </w:pPr>
            <w:r w:rsidRPr="00324629">
              <w:rPr>
                <w:rFonts w:ascii="Arial" w:hAnsi="Arial" w:cs="Arial"/>
                <w:snapToGrid w:val="0"/>
                <w:color w:val="000000"/>
                <w:sz w:val="20"/>
                <w:szCs w:val="20"/>
              </w:rPr>
              <w:t>1.3. Место нахождения эмитента</w:t>
            </w:r>
          </w:p>
        </w:tc>
        <w:tc>
          <w:tcPr>
            <w:tcW w:w="5812" w:type="dxa"/>
            <w:vAlign w:val="center"/>
          </w:tcPr>
          <w:p w:rsidR="00487486" w:rsidRPr="00324629" w:rsidRDefault="00487486" w:rsidP="00E366AB">
            <w:pPr>
              <w:rPr>
                <w:rFonts w:ascii="Arial" w:hAnsi="Arial" w:cs="Arial"/>
                <w:b/>
                <w:bCs/>
                <w:sz w:val="20"/>
                <w:szCs w:val="20"/>
              </w:rPr>
            </w:pPr>
            <w:r w:rsidRPr="00324629">
              <w:rPr>
                <w:rFonts w:ascii="Arial" w:hAnsi="Arial" w:cs="Arial"/>
                <w:b/>
                <w:bCs/>
                <w:color w:val="000000"/>
                <w:sz w:val="20"/>
                <w:szCs w:val="20"/>
              </w:rPr>
              <w:t>115093, г. Москва, Партийный переулок, дом 1, корп. 57, стр. 2, 3</w:t>
            </w:r>
          </w:p>
        </w:tc>
      </w:tr>
      <w:tr w:rsidR="00487486" w:rsidRPr="00324629">
        <w:tc>
          <w:tcPr>
            <w:tcW w:w="4395" w:type="dxa"/>
            <w:vAlign w:val="center"/>
          </w:tcPr>
          <w:p w:rsidR="00487486" w:rsidRPr="00324629" w:rsidRDefault="00487486" w:rsidP="00BD21EA">
            <w:pPr>
              <w:ind w:left="57" w:right="57"/>
              <w:rPr>
                <w:rFonts w:ascii="Arial" w:hAnsi="Arial" w:cs="Arial"/>
                <w:sz w:val="20"/>
                <w:szCs w:val="20"/>
              </w:rPr>
            </w:pPr>
            <w:r w:rsidRPr="00324629">
              <w:rPr>
                <w:rFonts w:ascii="Arial" w:hAnsi="Arial" w:cs="Arial"/>
                <w:snapToGrid w:val="0"/>
                <w:color w:val="000000"/>
                <w:sz w:val="20"/>
                <w:szCs w:val="20"/>
              </w:rPr>
              <w:t>1.4. ОГРН эмитента</w:t>
            </w:r>
          </w:p>
        </w:tc>
        <w:tc>
          <w:tcPr>
            <w:tcW w:w="5812" w:type="dxa"/>
            <w:vAlign w:val="center"/>
          </w:tcPr>
          <w:p w:rsidR="00487486" w:rsidRPr="00324629" w:rsidRDefault="00487486" w:rsidP="00E366AB">
            <w:pPr>
              <w:rPr>
                <w:rFonts w:ascii="Arial" w:hAnsi="Arial" w:cs="Arial"/>
                <w:b/>
                <w:bCs/>
                <w:sz w:val="20"/>
                <w:szCs w:val="20"/>
                <w:highlight w:val="yellow"/>
              </w:rPr>
            </w:pPr>
            <w:r w:rsidRPr="00324629">
              <w:rPr>
                <w:rFonts w:ascii="Arial" w:hAnsi="Arial" w:cs="Arial"/>
                <w:b/>
                <w:bCs/>
                <w:color w:val="000000"/>
                <w:sz w:val="20"/>
                <w:szCs w:val="20"/>
              </w:rPr>
              <w:t>1027744002670</w:t>
            </w:r>
          </w:p>
        </w:tc>
      </w:tr>
      <w:tr w:rsidR="00487486" w:rsidRPr="00324629">
        <w:tc>
          <w:tcPr>
            <w:tcW w:w="4395" w:type="dxa"/>
            <w:vAlign w:val="center"/>
          </w:tcPr>
          <w:p w:rsidR="00487486" w:rsidRPr="00324629" w:rsidRDefault="00487486" w:rsidP="00BD21EA">
            <w:pPr>
              <w:ind w:left="57" w:right="57"/>
              <w:rPr>
                <w:rFonts w:ascii="Arial" w:hAnsi="Arial" w:cs="Arial"/>
                <w:sz w:val="20"/>
                <w:szCs w:val="20"/>
              </w:rPr>
            </w:pPr>
            <w:r w:rsidRPr="00324629">
              <w:rPr>
                <w:rFonts w:ascii="Arial" w:hAnsi="Arial" w:cs="Arial"/>
                <w:sz w:val="20"/>
                <w:szCs w:val="20"/>
              </w:rPr>
              <w:t>1.5. ИНН эмитента</w:t>
            </w:r>
          </w:p>
        </w:tc>
        <w:tc>
          <w:tcPr>
            <w:tcW w:w="5812" w:type="dxa"/>
            <w:vAlign w:val="center"/>
          </w:tcPr>
          <w:p w:rsidR="00487486" w:rsidRPr="00324629" w:rsidRDefault="00487486" w:rsidP="00E366AB">
            <w:pPr>
              <w:rPr>
                <w:rFonts w:ascii="Arial" w:hAnsi="Arial" w:cs="Arial"/>
                <w:b/>
                <w:bCs/>
                <w:sz w:val="20"/>
                <w:szCs w:val="20"/>
                <w:highlight w:val="yellow"/>
              </w:rPr>
            </w:pPr>
            <w:r w:rsidRPr="00324629">
              <w:rPr>
                <w:rFonts w:ascii="Arial" w:hAnsi="Arial" w:cs="Arial"/>
                <w:b/>
                <w:bCs/>
                <w:color w:val="000000"/>
                <w:sz w:val="20"/>
                <w:szCs w:val="20"/>
              </w:rPr>
              <w:t>7744002807</w:t>
            </w:r>
          </w:p>
        </w:tc>
      </w:tr>
      <w:tr w:rsidR="00487486" w:rsidRPr="00324629">
        <w:tc>
          <w:tcPr>
            <w:tcW w:w="4395" w:type="dxa"/>
            <w:vAlign w:val="center"/>
          </w:tcPr>
          <w:p w:rsidR="00487486" w:rsidRPr="00324629" w:rsidRDefault="00487486" w:rsidP="00BD21EA">
            <w:pPr>
              <w:ind w:left="57" w:right="57"/>
              <w:rPr>
                <w:rFonts w:ascii="Arial" w:hAnsi="Arial" w:cs="Arial"/>
                <w:sz w:val="20"/>
                <w:szCs w:val="20"/>
              </w:rPr>
            </w:pPr>
            <w:r w:rsidRPr="00324629">
              <w:rPr>
                <w:rFonts w:ascii="Arial" w:hAnsi="Arial" w:cs="Arial"/>
                <w:snapToGrid w:val="0"/>
                <w:color w:val="000000"/>
                <w:sz w:val="20"/>
                <w:szCs w:val="20"/>
              </w:rPr>
              <w:t>1.6. Уникальный код эмитента, присвоенный регистрирующим органом</w:t>
            </w:r>
          </w:p>
        </w:tc>
        <w:tc>
          <w:tcPr>
            <w:tcW w:w="5812" w:type="dxa"/>
            <w:vAlign w:val="center"/>
          </w:tcPr>
          <w:p w:rsidR="00487486" w:rsidRPr="00324629" w:rsidRDefault="00487486" w:rsidP="00E366AB">
            <w:pPr>
              <w:rPr>
                <w:rFonts w:ascii="Arial" w:hAnsi="Arial" w:cs="Arial"/>
                <w:b/>
                <w:bCs/>
                <w:sz w:val="20"/>
                <w:szCs w:val="20"/>
                <w:highlight w:val="yellow"/>
              </w:rPr>
            </w:pPr>
            <w:r w:rsidRPr="00324629">
              <w:rPr>
                <w:rFonts w:ascii="Arial" w:hAnsi="Arial" w:cs="Arial"/>
                <w:b/>
                <w:bCs/>
                <w:color w:val="000000"/>
                <w:sz w:val="20"/>
                <w:szCs w:val="20"/>
              </w:rPr>
              <w:t>03421В</w:t>
            </w:r>
          </w:p>
        </w:tc>
      </w:tr>
      <w:tr w:rsidR="00487486" w:rsidRPr="00324629">
        <w:tc>
          <w:tcPr>
            <w:tcW w:w="4395" w:type="dxa"/>
            <w:vAlign w:val="center"/>
          </w:tcPr>
          <w:p w:rsidR="00487486" w:rsidRPr="00324629" w:rsidRDefault="00487486" w:rsidP="00BD21EA">
            <w:pPr>
              <w:ind w:left="57" w:right="57"/>
              <w:rPr>
                <w:rFonts w:ascii="Arial" w:hAnsi="Arial" w:cs="Arial"/>
                <w:sz w:val="20"/>
                <w:szCs w:val="20"/>
              </w:rPr>
            </w:pPr>
            <w:r w:rsidRPr="00324629">
              <w:rPr>
                <w:rFonts w:ascii="Arial" w:hAnsi="Arial" w:cs="Arial"/>
                <w:snapToGrid w:val="0"/>
                <w:color w:val="000000"/>
                <w:sz w:val="20"/>
                <w:szCs w:val="20"/>
              </w:rPr>
              <w:t>1.7. Адрес страницы в сети Интернет, используемой эмитентом для раскрытия информации</w:t>
            </w:r>
          </w:p>
        </w:tc>
        <w:tc>
          <w:tcPr>
            <w:tcW w:w="5812" w:type="dxa"/>
            <w:vAlign w:val="center"/>
          </w:tcPr>
          <w:p w:rsidR="00487486" w:rsidRPr="008662BC" w:rsidRDefault="00487486" w:rsidP="00E366AB">
            <w:pPr>
              <w:pStyle w:val="prilozhenie"/>
              <w:ind w:firstLine="0"/>
              <w:rPr>
                <w:rFonts w:ascii="Arial" w:hAnsi="Arial" w:cs="Arial"/>
                <w:b/>
                <w:bCs/>
                <w:sz w:val="20"/>
                <w:szCs w:val="20"/>
              </w:rPr>
            </w:pPr>
            <w:hyperlink r:id="rId7" w:history="1">
              <w:r w:rsidRPr="008662BC">
                <w:rPr>
                  <w:rStyle w:val="Hyperlink"/>
                  <w:rFonts w:ascii="Arial" w:hAnsi="Arial" w:cs="Arial"/>
                  <w:b/>
                  <w:bCs/>
                  <w:color w:val="auto"/>
                  <w:sz w:val="20"/>
                  <w:szCs w:val="20"/>
                </w:rPr>
                <w:t>http://ns-bank.ru</w:t>
              </w:r>
            </w:hyperlink>
            <w:r w:rsidRPr="008662BC">
              <w:rPr>
                <w:rFonts w:ascii="Arial" w:hAnsi="Arial" w:cs="Arial"/>
                <w:b/>
                <w:bCs/>
                <w:sz w:val="20"/>
                <w:szCs w:val="20"/>
              </w:rPr>
              <w:t>;</w:t>
            </w:r>
          </w:p>
          <w:p w:rsidR="00487486" w:rsidRPr="00324629" w:rsidRDefault="00487486" w:rsidP="00E366AB">
            <w:pPr>
              <w:pStyle w:val="prilozhenie"/>
              <w:ind w:firstLine="0"/>
              <w:rPr>
                <w:rFonts w:ascii="Arial" w:hAnsi="Arial" w:cs="Arial"/>
                <w:b/>
                <w:bCs/>
                <w:sz w:val="20"/>
                <w:szCs w:val="20"/>
              </w:rPr>
            </w:pPr>
            <w:r w:rsidRPr="00324629">
              <w:rPr>
                <w:rFonts w:ascii="Arial" w:hAnsi="Arial" w:cs="Arial"/>
                <w:b/>
                <w:bCs/>
                <w:color w:val="000000"/>
                <w:sz w:val="20"/>
                <w:szCs w:val="20"/>
                <w:lang w:val="en-US"/>
              </w:rPr>
              <w:t>http</w:t>
            </w:r>
            <w:r w:rsidRPr="00324629">
              <w:rPr>
                <w:rFonts w:ascii="Arial" w:hAnsi="Arial" w:cs="Arial"/>
                <w:b/>
                <w:bCs/>
                <w:color w:val="000000"/>
                <w:sz w:val="20"/>
                <w:szCs w:val="20"/>
              </w:rPr>
              <w:t>://</w:t>
            </w:r>
            <w:r w:rsidRPr="00324629">
              <w:rPr>
                <w:rFonts w:ascii="Arial" w:hAnsi="Arial" w:cs="Arial"/>
                <w:b/>
                <w:bCs/>
                <w:color w:val="000000"/>
                <w:sz w:val="20"/>
                <w:szCs w:val="20"/>
                <w:lang w:val="en-US"/>
              </w:rPr>
              <w:t>www</w:t>
            </w:r>
            <w:r w:rsidRPr="00324629">
              <w:rPr>
                <w:rFonts w:ascii="Arial" w:hAnsi="Arial" w:cs="Arial"/>
                <w:b/>
                <w:bCs/>
                <w:color w:val="000000"/>
                <w:sz w:val="20"/>
                <w:szCs w:val="20"/>
              </w:rPr>
              <w:t>.</w:t>
            </w:r>
            <w:r w:rsidRPr="00324629">
              <w:rPr>
                <w:rFonts w:ascii="Arial" w:hAnsi="Arial" w:cs="Arial"/>
                <w:b/>
                <w:bCs/>
                <w:color w:val="000000"/>
                <w:sz w:val="20"/>
                <w:szCs w:val="20"/>
                <w:lang w:val="en-US"/>
              </w:rPr>
              <w:t>e</w:t>
            </w:r>
            <w:r w:rsidRPr="00324629">
              <w:rPr>
                <w:rFonts w:ascii="Arial" w:hAnsi="Arial" w:cs="Arial"/>
                <w:b/>
                <w:bCs/>
                <w:color w:val="000000"/>
                <w:sz w:val="20"/>
                <w:szCs w:val="20"/>
              </w:rPr>
              <w:t>-</w:t>
            </w:r>
            <w:r w:rsidRPr="00324629">
              <w:rPr>
                <w:rFonts w:ascii="Arial" w:hAnsi="Arial" w:cs="Arial"/>
                <w:b/>
                <w:bCs/>
                <w:color w:val="000000"/>
                <w:sz w:val="20"/>
                <w:szCs w:val="20"/>
                <w:lang w:val="en-US"/>
              </w:rPr>
              <w:t>disclosure</w:t>
            </w:r>
            <w:r w:rsidRPr="00324629">
              <w:rPr>
                <w:rFonts w:ascii="Arial" w:hAnsi="Arial" w:cs="Arial"/>
                <w:b/>
                <w:bCs/>
                <w:color w:val="000000"/>
                <w:sz w:val="20"/>
                <w:szCs w:val="20"/>
              </w:rPr>
              <w:t>.</w:t>
            </w:r>
            <w:r w:rsidRPr="00324629">
              <w:rPr>
                <w:rFonts w:ascii="Arial" w:hAnsi="Arial" w:cs="Arial"/>
                <w:b/>
                <w:bCs/>
                <w:color w:val="000000"/>
                <w:sz w:val="20"/>
                <w:szCs w:val="20"/>
                <w:lang w:val="en-US"/>
              </w:rPr>
              <w:t>ru</w:t>
            </w:r>
            <w:r w:rsidRPr="00324629">
              <w:rPr>
                <w:rFonts w:ascii="Arial" w:hAnsi="Arial" w:cs="Arial"/>
                <w:b/>
                <w:bCs/>
                <w:color w:val="000000"/>
                <w:sz w:val="20"/>
                <w:szCs w:val="20"/>
              </w:rPr>
              <w:t>/</w:t>
            </w:r>
            <w:r w:rsidRPr="00324629">
              <w:rPr>
                <w:rFonts w:ascii="Arial" w:hAnsi="Arial" w:cs="Arial"/>
                <w:b/>
                <w:bCs/>
                <w:color w:val="000000"/>
                <w:sz w:val="20"/>
                <w:szCs w:val="20"/>
                <w:lang w:val="en-US"/>
              </w:rPr>
              <w:t>portal</w:t>
            </w:r>
            <w:r w:rsidRPr="00324629">
              <w:rPr>
                <w:rFonts w:ascii="Arial" w:hAnsi="Arial" w:cs="Arial"/>
                <w:b/>
                <w:bCs/>
                <w:color w:val="000000"/>
                <w:sz w:val="20"/>
                <w:szCs w:val="20"/>
              </w:rPr>
              <w:t>/</w:t>
            </w:r>
            <w:r w:rsidRPr="00324629">
              <w:rPr>
                <w:rFonts w:ascii="Arial" w:hAnsi="Arial" w:cs="Arial"/>
                <w:b/>
                <w:bCs/>
                <w:color w:val="000000"/>
                <w:sz w:val="20"/>
                <w:szCs w:val="20"/>
                <w:lang w:val="en-US"/>
              </w:rPr>
              <w:t>company</w:t>
            </w:r>
            <w:r w:rsidRPr="00324629">
              <w:rPr>
                <w:rFonts w:ascii="Arial" w:hAnsi="Arial" w:cs="Arial"/>
                <w:b/>
                <w:bCs/>
                <w:color w:val="000000"/>
                <w:sz w:val="20"/>
                <w:szCs w:val="20"/>
              </w:rPr>
              <w:t>.</w:t>
            </w:r>
            <w:r w:rsidRPr="00324629">
              <w:rPr>
                <w:rFonts w:ascii="Arial" w:hAnsi="Arial" w:cs="Arial"/>
                <w:b/>
                <w:bCs/>
                <w:color w:val="000000"/>
                <w:sz w:val="20"/>
                <w:szCs w:val="20"/>
                <w:lang w:val="en-US"/>
              </w:rPr>
              <w:t>aspx</w:t>
            </w:r>
            <w:r w:rsidRPr="00324629">
              <w:rPr>
                <w:rFonts w:ascii="Arial" w:hAnsi="Arial" w:cs="Arial"/>
                <w:b/>
                <w:bCs/>
                <w:color w:val="000000"/>
                <w:sz w:val="20"/>
                <w:szCs w:val="20"/>
              </w:rPr>
              <w:t>?</w:t>
            </w:r>
            <w:r w:rsidRPr="00324629">
              <w:rPr>
                <w:rFonts w:ascii="Arial" w:hAnsi="Arial" w:cs="Arial"/>
                <w:b/>
                <w:bCs/>
                <w:color w:val="000000"/>
                <w:sz w:val="20"/>
                <w:szCs w:val="20"/>
                <w:lang w:val="en-US"/>
              </w:rPr>
              <w:t>id</w:t>
            </w:r>
            <w:r w:rsidRPr="00324629">
              <w:rPr>
                <w:rFonts w:ascii="Arial" w:hAnsi="Arial" w:cs="Arial"/>
                <w:b/>
                <w:bCs/>
                <w:color w:val="000000"/>
                <w:sz w:val="20"/>
                <w:szCs w:val="20"/>
              </w:rPr>
              <w:t xml:space="preserve">=27836 </w:t>
            </w:r>
          </w:p>
        </w:tc>
      </w:tr>
    </w:tbl>
    <w:p w:rsidR="00487486" w:rsidRPr="00324629" w:rsidRDefault="00487486" w:rsidP="001B469A">
      <w:pPr>
        <w:jc w:val="center"/>
        <w:rPr>
          <w:rFonts w:ascii="Arial" w:hAnsi="Arial" w:cs="Arial"/>
          <w:b/>
          <w:bCs/>
          <w:sz w:val="20"/>
          <w:szCs w:val="20"/>
        </w:rPr>
      </w:pPr>
    </w:p>
    <w:tbl>
      <w:tblPr>
        <w:tblW w:w="10164" w:type="dxa"/>
        <w:tblInd w:w="-106" w:type="dxa"/>
        <w:tblBorders>
          <w:top w:val="single" w:sz="4" w:space="0" w:color="auto"/>
          <w:left w:val="single" w:sz="4" w:space="0" w:color="auto"/>
          <w:bottom w:val="single" w:sz="4" w:space="0" w:color="auto"/>
          <w:right w:val="single" w:sz="4" w:space="0" w:color="auto"/>
        </w:tblBorders>
        <w:tblLook w:val="01E0"/>
      </w:tblPr>
      <w:tblGrid>
        <w:gridCol w:w="10164"/>
      </w:tblGrid>
      <w:tr w:rsidR="00487486" w:rsidRPr="00324629" w:rsidTr="007031C6">
        <w:tc>
          <w:tcPr>
            <w:tcW w:w="10164" w:type="dxa"/>
            <w:tcBorders>
              <w:top w:val="single" w:sz="4" w:space="0" w:color="auto"/>
              <w:bottom w:val="single" w:sz="4" w:space="0" w:color="auto"/>
            </w:tcBorders>
          </w:tcPr>
          <w:p w:rsidR="00487486" w:rsidRPr="00324629" w:rsidRDefault="00487486" w:rsidP="00BD21EA">
            <w:pPr>
              <w:pStyle w:val="Header"/>
              <w:tabs>
                <w:tab w:val="clear" w:pos="4677"/>
                <w:tab w:val="clear" w:pos="9355"/>
              </w:tabs>
              <w:jc w:val="center"/>
              <w:rPr>
                <w:rFonts w:ascii="Arial" w:hAnsi="Arial" w:cs="Arial"/>
                <w:sz w:val="20"/>
                <w:szCs w:val="20"/>
                <w:lang w:val="en-US"/>
              </w:rPr>
            </w:pPr>
            <w:r w:rsidRPr="00324629">
              <w:rPr>
                <w:rFonts w:ascii="Arial" w:hAnsi="Arial" w:cs="Arial"/>
                <w:sz w:val="20"/>
                <w:szCs w:val="20"/>
              </w:rPr>
              <w:t>2. Содержание сообщения</w:t>
            </w:r>
          </w:p>
        </w:tc>
      </w:tr>
      <w:tr w:rsidR="00487486" w:rsidRPr="004A148B" w:rsidTr="007031C6">
        <w:tc>
          <w:tcPr>
            <w:tcW w:w="10164" w:type="dxa"/>
            <w:tcBorders>
              <w:top w:val="single" w:sz="4" w:space="0" w:color="auto"/>
              <w:bottom w:val="single" w:sz="4" w:space="0" w:color="auto"/>
            </w:tcBorders>
            <w:vAlign w:val="bottom"/>
          </w:tcPr>
          <w:p w:rsidR="00487486" w:rsidRPr="004A148B" w:rsidRDefault="00487486" w:rsidP="00362647">
            <w:pPr>
              <w:ind w:right="57"/>
              <w:jc w:val="both"/>
              <w:rPr>
                <w:rFonts w:ascii="Arial" w:hAnsi="Arial" w:cs="Arial"/>
                <w:b/>
                <w:bCs/>
                <w:sz w:val="20"/>
                <w:szCs w:val="20"/>
              </w:rPr>
            </w:pPr>
            <w:r w:rsidRPr="004A148B">
              <w:rPr>
                <w:rFonts w:ascii="Arial" w:hAnsi="Arial" w:cs="Arial"/>
                <w:snapToGrid w:val="0"/>
                <w:color w:val="000000"/>
                <w:sz w:val="20"/>
                <w:szCs w:val="20"/>
              </w:rPr>
              <w:t xml:space="preserve">2.1. Вид, категория (тип), серия и иные идентификационные признаки размещаемых ценных бумаг: </w:t>
            </w:r>
            <w:r w:rsidRPr="004A148B">
              <w:rPr>
                <w:rFonts w:ascii="Arial" w:hAnsi="Arial" w:cs="Arial"/>
                <w:b/>
                <w:bCs/>
                <w:sz w:val="20"/>
                <w:szCs w:val="20"/>
              </w:rPr>
              <w:t xml:space="preserve">Дополнительный выпуск </w:t>
            </w:r>
            <w:r w:rsidRPr="004A148B">
              <w:rPr>
                <w:rFonts w:ascii="Arial" w:hAnsi="Arial" w:cs="Arial"/>
                <w:b/>
                <w:bCs/>
                <w:color w:val="000000"/>
                <w:sz w:val="20"/>
                <w:szCs w:val="20"/>
                <w:lang w:eastAsia="en-US"/>
              </w:rPr>
              <w:t xml:space="preserve">биржевых процентных неконвертируемых документарных облигаций </w:t>
            </w:r>
            <w:r w:rsidRPr="004A148B">
              <w:rPr>
                <w:rFonts w:ascii="Arial" w:hAnsi="Arial" w:cs="Arial"/>
                <w:b/>
                <w:bCs/>
                <w:sz w:val="20"/>
                <w:szCs w:val="20"/>
              </w:rPr>
              <w:t xml:space="preserve">ООО КБ "Национальный стандарт" </w:t>
            </w:r>
            <w:r w:rsidRPr="004A148B">
              <w:rPr>
                <w:rFonts w:ascii="Arial" w:hAnsi="Arial" w:cs="Arial"/>
                <w:b/>
                <w:bCs/>
                <w:color w:val="000000"/>
                <w:sz w:val="20"/>
                <w:szCs w:val="20"/>
                <w:lang w:eastAsia="en-US"/>
              </w:rPr>
              <w:t>на предъявителя с обязательным  централизованным хранением серии БО-2, в количестве 1 000 000 (Один миллион) штук, номинальной стоимостью                1 000 (Одна тысяча) рублей каждая, общей номинальной стоимостью 1 000 000 000 (Один миллиард) рублей, со сроком погашения 18 июля 2018 года, размещаемых по открытой подписке, c возможностью досрочного погашения по требованию их владельцев и по усмотрению Эмитента (далее – Биржевые облигации, Биржевые облигации дополнительного выпуска)</w:t>
            </w:r>
            <w:r w:rsidRPr="004A148B">
              <w:rPr>
                <w:rFonts w:ascii="Arial" w:hAnsi="Arial" w:cs="Arial"/>
                <w:b/>
                <w:bCs/>
                <w:sz w:val="20"/>
                <w:szCs w:val="20"/>
              </w:rPr>
              <w:t xml:space="preserve">. </w:t>
            </w:r>
          </w:p>
          <w:p w:rsidR="00487486" w:rsidRPr="004A148B" w:rsidRDefault="00487486" w:rsidP="00362647">
            <w:pPr>
              <w:ind w:right="57"/>
              <w:jc w:val="both"/>
              <w:rPr>
                <w:rFonts w:ascii="Arial" w:hAnsi="Arial" w:cs="Arial"/>
                <w:b/>
                <w:bCs/>
                <w:sz w:val="20"/>
                <w:szCs w:val="20"/>
              </w:rPr>
            </w:pP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color w:val="000000"/>
                <w:sz w:val="20"/>
                <w:szCs w:val="20"/>
              </w:rPr>
              <w:t xml:space="preserve">2.2. Срок погашения (для облигаций и опционов эмитента): </w:t>
            </w:r>
            <w:r w:rsidRPr="004A148B">
              <w:rPr>
                <w:rFonts w:ascii="Arial" w:hAnsi="Arial" w:cs="Arial"/>
                <w:b/>
                <w:bCs/>
                <w:color w:val="000000"/>
                <w:sz w:val="20"/>
                <w:szCs w:val="20"/>
              </w:rPr>
              <w:t>Биржевые облигации погашаются - 18 июля 2018 года.</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87486" w:rsidRPr="004A148B" w:rsidRDefault="00487486" w:rsidP="00B67398">
            <w:pPr>
              <w:ind w:right="57"/>
              <w:jc w:val="both"/>
              <w:rPr>
                <w:rFonts w:ascii="Arial" w:hAnsi="Arial" w:cs="Arial"/>
                <w:b/>
                <w:bCs/>
                <w:color w:val="000000"/>
                <w:sz w:val="20"/>
                <w:szCs w:val="20"/>
              </w:rPr>
            </w:pP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color w:val="000000"/>
                <w:sz w:val="20"/>
                <w:szCs w:val="20"/>
              </w:rPr>
              <w:t xml:space="preserve">2.3. Государственный регистрационный номер выпуска (дополнительного выпуска) ценных бумаг и дата его государственной регистрации: </w:t>
            </w:r>
            <w:r w:rsidRPr="004A148B">
              <w:rPr>
                <w:rFonts w:ascii="Arial" w:hAnsi="Arial" w:cs="Arial"/>
                <w:b/>
                <w:bCs/>
                <w:color w:val="000000"/>
                <w:sz w:val="20"/>
                <w:szCs w:val="20"/>
              </w:rPr>
              <w:t>идентификационный номер 4В020203421В от 22.08.2014 г.</w:t>
            </w:r>
          </w:p>
          <w:p w:rsidR="00487486" w:rsidRPr="004A148B" w:rsidRDefault="00487486" w:rsidP="00B67398">
            <w:pPr>
              <w:ind w:right="57"/>
              <w:jc w:val="both"/>
              <w:rPr>
                <w:rFonts w:ascii="Arial" w:hAnsi="Arial" w:cs="Arial"/>
                <w:b/>
                <w:bCs/>
                <w:color w:val="000000"/>
                <w:sz w:val="20"/>
                <w:szCs w:val="20"/>
              </w:rPr>
            </w:pP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color w:val="000000"/>
                <w:sz w:val="20"/>
                <w:szCs w:val="20"/>
              </w:rPr>
              <w:t xml:space="preserve">2.4. Наименование регистрирующего органа, осуществившего государственную регистрацию выпуска (дополнительного выпуска) ценных бумаг: </w:t>
            </w:r>
            <w:r w:rsidRPr="004A148B">
              <w:rPr>
                <w:rFonts w:ascii="Arial" w:hAnsi="Arial" w:cs="Arial"/>
                <w:b/>
                <w:bCs/>
                <w:color w:val="000000"/>
                <w:sz w:val="20"/>
                <w:szCs w:val="20"/>
              </w:rPr>
              <w:t>Закрытое акционерное общество «Фондовая биржа ММВБ» (в соответствии с Правилами листинга ЗАО «ФБ ММВБ» Распоряжением Генерального директора ЗАО «ФБ ММВБ» № 988-р от 22 августа 2014 года принято решение о присвоении идентификационного номера основного выпуска  дополнительному выпуску Биржевых облигаций серии БО-2 ООО КБ "Национальный стандарт" в связи с получением соответствующего заявления).</w:t>
            </w:r>
          </w:p>
          <w:p w:rsidR="00487486" w:rsidRPr="004A148B" w:rsidRDefault="00487486" w:rsidP="00B67398">
            <w:pPr>
              <w:ind w:right="57"/>
              <w:jc w:val="both"/>
              <w:rPr>
                <w:rFonts w:ascii="Arial" w:hAnsi="Arial" w:cs="Arial"/>
                <w:color w:val="000000"/>
                <w:sz w:val="20"/>
                <w:szCs w:val="20"/>
              </w:rPr>
            </w:pP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color w:val="000000"/>
                <w:sz w:val="20"/>
                <w:szCs w:val="20"/>
              </w:rPr>
              <w:t xml:space="preserve">2.5. Количество размещаемых ценных бумаг и номинальная стоимость (если наличие номинальной стоимости предусмотрено законодательством Российской Федерации) каждой размещаемой ценной бумаги: </w:t>
            </w:r>
            <w:r w:rsidRPr="004A148B">
              <w:rPr>
                <w:rFonts w:ascii="Arial" w:hAnsi="Arial" w:cs="Arial"/>
                <w:b/>
                <w:bCs/>
                <w:color w:val="000000"/>
                <w:sz w:val="20"/>
                <w:szCs w:val="20"/>
              </w:rPr>
              <w:t>1 000 000 (Один миллион) штук, номинальной стоимостью 1 000 (Одна тысяча) рублей каждая.</w:t>
            </w:r>
          </w:p>
          <w:p w:rsidR="00487486" w:rsidRPr="004A148B" w:rsidRDefault="00487486" w:rsidP="00B67398">
            <w:pPr>
              <w:ind w:right="57"/>
              <w:jc w:val="both"/>
              <w:rPr>
                <w:rFonts w:ascii="Arial" w:hAnsi="Arial" w:cs="Arial"/>
                <w:b/>
                <w:bCs/>
                <w:color w:val="000000"/>
                <w:sz w:val="20"/>
                <w:szCs w:val="20"/>
              </w:rPr>
            </w:pP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color w:val="000000"/>
                <w:sz w:val="20"/>
                <w:szCs w:val="20"/>
              </w:rPr>
              <w:t xml:space="preserve">2.6. Способ размещения ценных бумаг (открытая или закрытая подписка), а в случае размещения ценных бумаг посредством закрытой подписки — также круг потенциальных приобретателей ценных бумаг: </w:t>
            </w:r>
            <w:r w:rsidRPr="004A148B">
              <w:rPr>
                <w:rFonts w:ascii="Arial" w:hAnsi="Arial" w:cs="Arial"/>
                <w:b/>
                <w:bCs/>
                <w:color w:val="000000"/>
                <w:sz w:val="20"/>
                <w:szCs w:val="20"/>
              </w:rPr>
              <w:t>Открытая подписка.</w:t>
            </w:r>
          </w:p>
          <w:p w:rsidR="00487486" w:rsidRPr="004A148B" w:rsidRDefault="00487486" w:rsidP="00B67398">
            <w:pPr>
              <w:ind w:right="57"/>
              <w:jc w:val="both"/>
              <w:rPr>
                <w:rFonts w:ascii="Arial" w:hAnsi="Arial" w:cs="Arial"/>
                <w:b/>
                <w:bCs/>
                <w:color w:val="000000"/>
                <w:sz w:val="20"/>
                <w:szCs w:val="20"/>
              </w:rPr>
            </w:pP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color w:val="000000"/>
                <w:sz w:val="20"/>
                <w:szCs w:val="20"/>
              </w:rPr>
              <w:t xml:space="preserve">2.7. Дата начала размещения ценных бумаг: </w:t>
            </w:r>
            <w:r w:rsidRPr="004A148B">
              <w:rPr>
                <w:rFonts w:ascii="Arial" w:hAnsi="Arial" w:cs="Arial"/>
                <w:b/>
                <w:bCs/>
                <w:color w:val="000000"/>
                <w:sz w:val="20"/>
                <w:szCs w:val="20"/>
              </w:rPr>
              <w:t>03 сентября 2014г.</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Дата начала размещения Биржевых облигаций дополнительного выпуска устанавливается уполномоченным органом управления Эмитента.</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Сообщение о дате начала размещения Биржевых облигаций дополнительного выпуска публикуется Эмитентом  в форме сообщения о дате начала размещения в следующие сроки:</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 в ленте новостей информационных агентств, уполномоченных в установленном порядке на раскрытие информации на рынке ценных бумаг (далее – Лента новостей) - не позднее, чем за 5 (Пять) дней до даты начала размещения ценных бумаг;</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 xml:space="preserve">- на странице Эмитента в информационно-телекоммуникационной сети «Интернет»  по адресам: www.e-disclosure.ru/portal/company.aspx?id=27836; http://www.ns-bank.ru (далее – страница Эмитента в сети Интернет) - не позднее, чем за 4 (Четыре) дня до даты начала размещения ценных бумаг. </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Публикация в сети Интернет осуществляется после публикации в ленте новостей.</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Эмитент уведомляет ФБ ММВБ и НРД о дате начала размещения Биржевых облигаций дополнительного выпуска не позднее, чем за 5 (Пять) дней до даты начала размещения Биржевых облигаций дополнительного выпуска.</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Дата начала размещения Биржевых облигаций дополнительного выпуска,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дополнительного выпуска.</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В случае принятия Эмитентом решения об изменении даты начала размещения Биржевых облигаций дополнительного выпуска, раскрытой в порядке, предусмотренном выше, Эмитент обязан опубликовать сообщение об изменении даты начала размещения Биржевых облигаций дополнительного выпуска в Ленте новостей и на странице Эмитента в сети Интернет - не позднее 1 (Одного) дня до наступления такой даты.</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 xml:space="preserve">Об изменении даты начала размещения Биржевых облигаций дополнительного выпуска Эмитент уведомляет Биржу не позднее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соответствующее решение, или даты принятия такого решения уполномоченным органом управления Эмитента, если составление протокола не требуется. </w:t>
            </w:r>
          </w:p>
          <w:p w:rsidR="00487486" w:rsidRPr="004A148B" w:rsidRDefault="00487486" w:rsidP="00B67398">
            <w:pPr>
              <w:ind w:right="57"/>
              <w:jc w:val="both"/>
              <w:rPr>
                <w:rFonts w:ascii="Arial" w:hAnsi="Arial" w:cs="Arial"/>
                <w:b/>
                <w:bCs/>
                <w:color w:val="000000"/>
                <w:sz w:val="20"/>
                <w:szCs w:val="20"/>
              </w:rPr>
            </w:pPr>
          </w:p>
          <w:p w:rsidR="00487486" w:rsidRPr="004A148B" w:rsidRDefault="00487486" w:rsidP="00B67398">
            <w:pPr>
              <w:ind w:right="57"/>
              <w:jc w:val="both"/>
              <w:rPr>
                <w:rFonts w:ascii="Arial" w:hAnsi="Arial" w:cs="Arial"/>
                <w:color w:val="000000"/>
                <w:sz w:val="20"/>
                <w:szCs w:val="20"/>
              </w:rPr>
            </w:pPr>
            <w:r w:rsidRPr="004A148B">
              <w:rPr>
                <w:rFonts w:ascii="Arial" w:hAnsi="Arial" w:cs="Arial"/>
                <w:color w:val="000000"/>
                <w:sz w:val="20"/>
                <w:szCs w:val="20"/>
              </w:rPr>
              <w:t xml:space="preserve">2.8. Дата окончания размещения ценных бумаг или порядок ее определения: </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Порядок определения даты окончания размещения:</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Датой окончания размещения дополнительного выпуска Биржевых облигаций является более ранняя из следующих дат:</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1) 10-й (Десятый) рабочий день с даты начала размещения Биржевых облигаций дополнительного выпуска;</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2) дата размещения последней Биржевой облигации дополнительного выпуска.</w:t>
            </w:r>
          </w:p>
          <w:p w:rsidR="00487486" w:rsidRPr="004A148B" w:rsidRDefault="00487486" w:rsidP="00B67398">
            <w:pPr>
              <w:ind w:right="57"/>
              <w:jc w:val="both"/>
              <w:rPr>
                <w:rFonts w:ascii="Arial" w:hAnsi="Arial" w:cs="Arial"/>
                <w:b/>
                <w:bCs/>
                <w:color w:val="000000"/>
                <w:sz w:val="20"/>
                <w:szCs w:val="20"/>
              </w:rPr>
            </w:pPr>
            <w:r w:rsidRPr="004A148B">
              <w:rPr>
                <w:rFonts w:ascii="Arial" w:hAnsi="Arial" w:cs="Arial"/>
                <w:b/>
                <w:bCs/>
                <w:color w:val="000000"/>
                <w:sz w:val="20"/>
                <w:szCs w:val="20"/>
              </w:rPr>
              <w:t>Дополнительный выпуск Биржевых облигаций не предполагается размещать траншами.</w:t>
            </w:r>
          </w:p>
          <w:p w:rsidR="00487486" w:rsidRPr="004A148B" w:rsidRDefault="00487486" w:rsidP="00B67398">
            <w:pPr>
              <w:ind w:right="57"/>
              <w:jc w:val="both"/>
              <w:rPr>
                <w:rFonts w:ascii="Arial" w:hAnsi="Arial" w:cs="Arial"/>
                <w:color w:val="000000"/>
                <w:sz w:val="20"/>
                <w:szCs w:val="20"/>
              </w:rPr>
            </w:pPr>
          </w:p>
          <w:p w:rsidR="00487486" w:rsidRPr="004A148B" w:rsidRDefault="00487486" w:rsidP="00B67398">
            <w:pPr>
              <w:tabs>
                <w:tab w:val="center" w:pos="4153"/>
                <w:tab w:val="right" w:pos="8306"/>
              </w:tabs>
              <w:autoSpaceDE/>
              <w:autoSpaceDN/>
              <w:jc w:val="both"/>
              <w:rPr>
                <w:rFonts w:ascii="Arial" w:hAnsi="Arial" w:cs="Arial"/>
                <w:color w:val="000000"/>
                <w:sz w:val="20"/>
                <w:szCs w:val="20"/>
              </w:rPr>
            </w:pPr>
            <w:r w:rsidRPr="004A148B">
              <w:rPr>
                <w:rFonts w:ascii="Arial" w:hAnsi="Arial" w:cs="Arial"/>
                <w:color w:val="000000"/>
                <w:sz w:val="20"/>
                <w:szCs w:val="20"/>
              </w:rPr>
              <w:t>2.9. Форма оплаты размещаемых ценных бумаг:</w:t>
            </w:r>
          </w:p>
          <w:p w:rsidR="00487486" w:rsidRPr="006D1A3A" w:rsidRDefault="00487486" w:rsidP="006D1A3A">
            <w:pPr>
              <w:jc w:val="both"/>
              <w:rPr>
                <w:rFonts w:ascii="Arial" w:hAnsi="Arial" w:cs="Arial"/>
                <w:b/>
                <w:bCs/>
                <w:color w:val="000000"/>
                <w:sz w:val="20"/>
                <w:szCs w:val="20"/>
              </w:rPr>
            </w:pPr>
            <w:r w:rsidRPr="006D1A3A">
              <w:rPr>
                <w:rFonts w:ascii="Arial" w:hAnsi="Arial" w:cs="Arial"/>
                <w:b/>
                <w:bCs/>
                <w:color w:val="000000"/>
                <w:sz w:val="20"/>
                <w:szCs w:val="20"/>
              </w:rPr>
              <w:t xml:space="preserve">При приобретении Биржевых облигаций дополнительного выпуска предусмотрена форма оплаты только денежными средствами в валюте Российской Федерации в безналичном порядке. </w:t>
            </w:r>
          </w:p>
          <w:p w:rsidR="00487486" w:rsidRPr="006D1A3A" w:rsidRDefault="00487486" w:rsidP="006D1A3A">
            <w:pPr>
              <w:tabs>
                <w:tab w:val="center" w:pos="4153"/>
                <w:tab w:val="right" w:pos="8306"/>
              </w:tabs>
              <w:autoSpaceDE/>
              <w:autoSpaceDN/>
              <w:jc w:val="both"/>
              <w:rPr>
                <w:rFonts w:ascii="Arial" w:hAnsi="Arial" w:cs="Arial"/>
                <w:b/>
                <w:bCs/>
                <w:color w:val="000000"/>
                <w:sz w:val="20"/>
                <w:szCs w:val="20"/>
              </w:rPr>
            </w:pPr>
            <w:r w:rsidRPr="006D1A3A">
              <w:rPr>
                <w:rFonts w:ascii="Arial" w:hAnsi="Arial" w:cs="Arial"/>
                <w:b/>
                <w:bCs/>
                <w:color w:val="000000"/>
                <w:sz w:val="20"/>
                <w:szCs w:val="20"/>
              </w:rPr>
              <w:t>Возможность рассрочки при оплате Биржевых облигаций дополнительного выпуска не предусмотрена.</w:t>
            </w:r>
          </w:p>
          <w:p w:rsidR="00487486" w:rsidRPr="004A148B" w:rsidRDefault="00487486" w:rsidP="00B67398">
            <w:pPr>
              <w:tabs>
                <w:tab w:val="center" w:pos="4153"/>
                <w:tab w:val="right" w:pos="8306"/>
              </w:tabs>
              <w:autoSpaceDE/>
              <w:autoSpaceDN/>
              <w:jc w:val="both"/>
              <w:rPr>
                <w:rFonts w:ascii="Arial" w:hAnsi="Arial" w:cs="Arial"/>
                <w:b/>
                <w:bCs/>
                <w:color w:val="000000"/>
                <w:sz w:val="20"/>
                <w:szCs w:val="20"/>
              </w:rPr>
            </w:pPr>
          </w:p>
          <w:p w:rsidR="00487486" w:rsidRPr="004A148B" w:rsidRDefault="00487486" w:rsidP="00B67398">
            <w:pPr>
              <w:ind w:right="57"/>
              <w:jc w:val="both"/>
              <w:rPr>
                <w:rFonts w:ascii="Arial" w:hAnsi="Arial" w:cs="Arial"/>
                <w:b/>
                <w:bCs/>
                <w:sz w:val="20"/>
                <w:szCs w:val="20"/>
              </w:rPr>
            </w:pPr>
            <w:r w:rsidRPr="004A148B">
              <w:rPr>
                <w:rFonts w:ascii="Arial" w:hAnsi="Arial" w:cs="Arial"/>
                <w:color w:val="000000"/>
                <w:sz w:val="20"/>
                <w:szCs w:val="20"/>
              </w:rPr>
              <w:t xml:space="preserve">2.10 Цена размещения ценных бумаг: </w:t>
            </w:r>
            <w:r w:rsidRPr="004A148B">
              <w:rPr>
                <w:rFonts w:ascii="Arial" w:hAnsi="Arial" w:cs="Arial"/>
                <w:b/>
                <w:bCs/>
                <w:sz w:val="20"/>
                <w:szCs w:val="20"/>
              </w:rPr>
              <w:t>100,00 (сто целых ноль сотых) процентов от номинальной стоимости Биржевых облигаций</w:t>
            </w:r>
            <w:r w:rsidRPr="004A148B">
              <w:rPr>
                <w:rFonts w:ascii="Arial" w:eastAsia="MS Mincho" w:hAnsi="Arial" w:cs="Arial"/>
                <w:b/>
                <w:bCs/>
                <w:sz w:val="20"/>
                <w:szCs w:val="20"/>
                <w:lang w:eastAsia="ja-JP"/>
              </w:rPr>
              <w:t xml:space="preserve"> дополнительного выпуска без учета накопленного купонного дохода (далее – НКД)</w:t>
            </w:r>
            <w:r w:rsidRPr="004A148B">
              <w:rPr>
                <w:rFonts w:ascii="Arial" w:hAnsi="Arial" w:cs="Arial"/>
                <w:b/>
                <w:bCs/>
                <w:sz w:val="20"/>
                <w:szCs w:val="20"/>
              </w:rPr>
              <w:t xml:space="preserve">, </w:t>
            </w:r>
            <w:r w:rsidRPr="004A148B">
              <w:rPr>
                <w:rFonts w:ascii="Arial" w:eastAsia="MS Mincho" w:hAnsi="Arial" w:cs="Arial"/>
                <w:b/>
                <w:bCs/>
                <w:sz w:val="20"/>
                <w:szCs w:val="20"/>
                <w:lang w:eastAsia="ja-JP"/>
              </w:rPr>
              <w:t>что составляет 1000 рублей 00 копеек без учета НКД за одну Биржевую облигацию дополнительного выпуска  (далее – Цена размещения).</w:t>
            </w:r>
            <w:r w:rsidRPr="004A148B">
              <w:rPr>
                <w:rFonts w:ascii="Arial" w:hAnsi="Arial" w:cs="Arial"/>
                <w:b/>
                <w:bCs/>
                <w:sz w:val="20"/>
                <w:szCs w:val="20"/>
              </w:rPr>
              <w:t xml:space="preserve"> В соответствии с п.8.4. Решения о дополнительном выпуске ценных бумаг, утвержденного Советом директоров ООО КБ "Национальный стандарт" (Протокол  от «12» августа 2014 года № 9) покупатели при приобретении Биржевых облигаций дополнительного выпуска уплачивают дополнительно к установленной Цене размещения НКД равный величине НКД по биржевой облигации серии БО-2 основного выпуска</w:t>
            </w:r>
            <w:r w:rsidRPr="004A148B">
              <w:rPr>
                <w:rFonts w:ascii="Arial" w:eastAsia="MS Mincho" w:hAnsi="Arial" w:cs="Arial"/>
                <w:b/>
                <w:bCs/>
                <w:sz w:val="20"/>
                <w:szCs w:val="20"/>
                <w:lang w:eastAsia="ja-JP"/>
              </w:rPr>
              <w:t xml:space="preserve"> (идентификационный номер 4В020203421В от 10 июня 2014 г.)</w:t>
            </w:r>
            <w:r w:rsidRPr="004A148B">
              <w:rPr>
                <w:rFonts w:ascii="Arial" w:hAnsi="Arial" w:cs="Arial"/>
                <w:b/>
                <w:bCs/>
                <w:sz w:val="20"/>
                <w:szCs w:val="20"/>
              </w:rPr>
              <w:t>, рассчитанный на дату приобретения Биржевых облигаций дополнительного выпуска.</w:t>
            </w:r>
          </w:p>
          <w:p w:rsidR="00487486" w:rsidRPr="004A148B" w:rsidRDefault="00487486" w:rsidP="00B67398">
            <w:pPr>
              <w:ind w:right="57"/>
              <w:jc w:val="both"/>
              <w:rPr>
                <w:rFonts w:ascii="Arial" w:eastAsia="MS Mincho" w:hAnsi="Arial"/>
                <w:b/>
                <w:bCs/>
                <w:sz w:val="20"/>
                <w:szCs w:val="20"/>
                <w:lang w:eastAsia="ja-JP"/>
              </w:rPr>
            </w:pPr>
          </w:p>
          <w:p w:rsidR="00487486" w:rsidRPr="004A148B" w:rsidRDefault="00487486" w:rsidP="00C23DF2">
            <w:pPr>
              <w:pStyle w:val="ConsNonformat"/>
              <w:widowControl/>
              <w:rPr>
                <w:rFonts w:ascii="Arial" w:hAnsi="Arial" w:cs="Arial"/>
              </w:rPr>
            </w:pPr>
            <w:r w:rsidRPr="004A148B">
              <w:rPr>
                <w:rFonts w:ascii="Arial" w:hAnsi="Arial" w:cs="Arial"/>
                <w:color w:val="000000"/>
              </w:rPr>
              <w:t xml:space="preserve">2.11. Орган управления эмитента, принявший решение об определении цены размещения ценных бумаг, дата принятия такого решения, дата составления </w:t>
            </w:r>
            <w:r w:rsidRPr="004A148B">
              <w:rPr>
                <w:rFonts w:ascii="Arial" w:hAnsi="Arial" w:cs="Arial"/>
              </w:rPr>
              <w:t>и номер протокола собрания (заседания) органа управления эмитента, на котором принято решение об определении цены размещения ценных бумаг, в случае если указанным органом является  коллегиальный орган управления эмитента:</w:t>
            </w:r>
          </w:p>
          <w:p w:rsidR="00487486" w:rsidRPr="004A148B" w:rsidRDefault="00487486" w:rsidP="002223F5">
            <w:pPr>
              <w:adjustRightInd w:val="0"/>
              <w:ind w:right="12"/>
              <w:jc w:val="both"/>
              <w:rPr>
                <w:rFonts w:ascii="Arial" w:hAnsi="Arial" w:cs="Arial"/>
                <w:sz w:val="20"/>
                <w:szCs w:val="20"/>
              </w:rPr>
            </w:pPr>
            <w:r>
              <w:rPr>
                <w:rFonts w:ascii="Arial" w:hAnsi="Arial" w:cs="Arial"/>
                <w:b/>
                <w:bCs/>
                <w:sz w:val="20"/>
                <w:szCs w:val="20"/>
              </w:rPr>
              <w:t xml:space="preserve">Решение принято </w:t>
            </w:r>
            <w:r w:rsidRPr="004A148B">
              <w:rPr>
                <w:rFonts w:ascii="Arial" w:hAnsi="Arial" w:cs="Arial"/>
                <w:b/>
                <w:bCs/>
                <w:sz w:val="20"/>
                <w:szCs w:val="20"/>
              </w:rPr>
              <w:t>Председател</w:t>
            </w:r>
            <w:r>
              <w:rPr>
                <w:rFonts w:ascii="Arial" w:hAnsi="Arial" w:cs="Arial"/>
                <w:b/>
                <w:bCs/>
                <w:sz w:val="20"/>
                <w:szCs w:val="20"/>
              </w:rPr>
              <w:t>ем</w:t>
            </w:r>
            <w:r w:rsidRPr="004A148B">
              <w:rPr>
                <w:rFonts w:ascii="Arial" w:hAnsi="Arial" w:cs="Arial"/>
                <w:b/>
                <w:bCs/>
                <w:sz w:val="20"/>
                <w:szCs w:val="20"/>
              </w:rPr>
              <w:t xml:space="preserve"> Правления ООО КБ "Национальный стандарт" Щекочихин</w:t>
            </w:r>
            <w:r>
              <w:rPr>
                <w:rFonts w:ascii="Arial" w:hAnsi="Arial" w:cs="Arial"/>
                <w:b/>
                <w:bCs/>
                <w:sz w:val="20"/>
                <w:szCs w:val="20"/>
              </w:rPr>
              <w:t>ым</w:t>
            </w:r>
            <w:r w:rsidRPr="004A148B">
              <w:rPr>
                <w:rFonts w:ascii="Arial" w:hAnsi="Arial" w:cs="Arial"/>
                <w:b/>
                <w:bCs/>
                <w:sz w:val="20"/>
                <w:szCs w:val="20"/>
              </w:rPr>
              <w:t xml:space="preserve"> А.С.</w:t>
            </w:r>
            <w:r w:rsidRPr="004A148B">
              <w:rPr>
                <w:rFonts w:ascii="Arial" w:hAnsi="Arial" w:cs="Arial"/>
                <w:b/>
                <w:bCs/>
                <w:color w:val="000000"/>
                <w:sz w:val="20"/>
                <w:szCs w:val="20"/>
              </w:rPr>
              <w:t>«01» сентября 2014г.,</w:t>
            </w:r>
            <w:r w:rsidRPr="004A148B">
              <w:rPr>
                <w:rFonts w:ascii="Arial" w:hAnsi="Arial" w:cs="Arial"/>
                <w:b/>
                <w:bCs/>
                <w:sz w:val="20"/>
                <w:szCs w:val="20"/>
              </w:rPr>
              <w:t xml:space="preserve"> Приказ </w:t>
            </w:r>
            <w:r w:rsidRPr="004A148B">
              <w:rPr>
                <w:rFonts w:ascii="Arial" w:hAnsi="Arial" w:cs="Arial"/>
                <w:b/>
                <w:bCs/>
                <w:color w:val="000000"/>
                <w:sz w:val="20"/>
                <w:szCs w:val="20"/>
              </w:rPr>
              <w:t>от  «01» сентября 2014г.</w:t>
            </w:r>
            <w:r w:rsidRPr="004A148B">
              <w:rPr>
                <w:rFonts w:ascii="Arial" w:hAnsi="Arial" w:cs="Arial"/>
                <w:b/>
                <w:bCs/>
                <w:sz w:val="20"/>
                <w:szCs w:val="20"/>
              </w:rPr>
              <w:t xml:space="preserve"> №</w:t>
            </w:r>
            <w:r>
              <w:rPr>
                <w:rFonts w:ascii="Arial" w:hAnsi="Arial" w:cs="Arial"/>
                <w:b/>
                <w:bCs/>
                <w:sz w:val="20"/>
                <w:szCs w:val="20"/>
              </w:rPr>
              <w:t xml:space="preserve"> 148.</w:t>
            </w:r>
          </w:p>
        </w:tc>
      </w:tr>
    </w:tbl>
    <w:p w:rsidR="00487486" w:rsidRPr="004A148B" w:rsidRDefault="00487486" w:rsidP="00362E4C">
      <w:pPr>
        <w:pStyle w:val="Header"/>
        <w:tabs>
          <w:tab w:val="clear" w:pos="4677"/>
          <w:tab w:val="clear" w:pos="9355"/>
        </w:tabs>
        <w:rPr>
          <w:rFonts w:ascii="Arial" w:hAnsi="Arial" w:cs="Arial"/>
          <w:sz w:val="20"/>
          <w:szCs w:val="20"/>
        </w:rPr>
      </w:pPr>
    </w:p>
    <w:tbl>
      <w:tblPr>
        <w:tblW w:w="1035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86"/>
        <w:gridCol w:w="448"/>
        <w:gridCol w:w="293"/>
        <w:gridCol w:w="1318"/>
        <w:gridCol w:w="415"/>
        <w:gridCol w:w="307"/>
        <w:gridCol w:w="564"/>
        <w:gridCol w:w="2116"/>
        <w:gridCol w:w="719"/>
        <w:gridCol w:w="2551"/>
        <w:gridCol w:w="142"/>
      </w:tblGrid>
      <w:tr w:rsidR="00487486" w:rsidRPr="004A148B">
        <w:trPr>
          <w:cantSplit/>
        </w:trPr>
        <w:tc>
          <w:tcPr>
            <w:tcW w:w="10359" w:type="dxa"/>
            <w:gridSpan w:val="11"/>
          </w:tcPr>
          <w:p w:rsidR="00487486" w:rsidRPr="004A148B" w:rsidRDefault="00487486" w:rsidP="00646AF9">
            <w:pPr>
              <w:jc w:val="center"/>
              <w:rPr>
                <w:rFonts w:ascii="Arial" w:hAnsi="Arial" w:cs="Arial"/>
                <w:sz w:val="20"/>
                <w:szCs w:val="20"/>
              </w:rPr>
            </w:pPr>
            <w:r w:rsidRPr="004A148B">
              <w:rPr>
                <w:rFonts w:ascii="Arial" w:hAnsi="Arial" w:cs="Arial"/>
                <w:sz w:val="20"/>
                <w:szCs w:val="20"/>
              </w:rPr>
              <w:t>3. Подпись</w:t>
            </w:r>
          </w:p>
        </w:tc>
      </w:tr>
      <w:tr w:rsidR="00487486" w:rsidRPr="004A1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31" w:type="dxa"/>
            <w:gridSpan w:val="7"/>
            <w:tcBorders>
              <w:top w:val="single" w:sz="4" w:space="0" w:color="auto"/>
              <w:left w:val="single" w:sz="4" w:space="0" w:color="auto"/>
              <w:bottom w:val="nil"/>
              <w:right w:val="nil"/>
            </w:tcBorders>
            <w:vAlign w:val="bottom"/>
          </w:tcPr>
          <w:p w:rsidR="00487486" w:rsidRPr="008662BC" w:rsidRDefault="00487486" w:rsidP="00646AF9">
            <w:pPr>
              <w:ind w:left="57"/>
              <w:rPr>
                <w:rFonts w:ascii="Arial" w:hAnsi="Arial" w:cs="Arial"/>
                <w:sz w:val="20"/>
                <w:szCs w:val="20"/>
              </w:rPr>
            </w:pPr>
            <w:r w:rsidRPr="008662BC">
              <w:rPr>
                <w:rFonts w:ascii="Arial" w:hAnsi="Arial" w:cs="Arial"/>
                <w:sz w:val="20"/>
                <w:szCs w:val="20"/>
              </w:rPr>
              <w:t xml:space="preserve">3.1. Председатель Правления   </w:t>
            </w:r>
          </w:p>
          <w:p w:rsidR="00487486" w:rsidRPr="008662BC" w:rsidRDefault="00487486" w:rsidP="00646AF9">
            <w:pPr>
              <w:ind w:left="57"/>
              <w:rPr>
                <w:rFonts w:ascii="Arial" w:hAnsi="Arial" w:cs="Arial"/>
                <w:sz w:val="20"/>
                <w:szCs w:val="20"/>
              </w:rPr>
            </w:pPr>
            <w:r w:rsidRPr="008662BC">
              <w:rPr>
                <w:rFonts w:ascii="Arial" w:hAnsi="Arial" w:cs="Arial"/>
                <w:sz w:val="20"/>
                <w:szCs w:val="20"/>
              </w:rPr>
              <w:t xml:space="preserve">       ООО КБ </w:t>
            </w:r>
            <w:r w:rsidRPr="008662BC">
              <w:rPr>
                <w:rFonts w:ascii="Arial" w:hAnsi="Arial" w:cs="Arial"/>
                <w:b/>
                <w:bCs/>
                <w:sz w:val="20"/>
                <w:szCs w:val="20"/>
              </w:rPr>
              <w:t>"</w:t>
            </w:r>
            <w:r w:rsidRPr="008662BC">
              <w:rPr>
                <w:rFonts w:ascii="Arial" w:hAnsi="Arial" w:cs="Arial"/>
                <w:sz w:val="20"/>
                <w:szCs w:val="20"/>
              </w:rPr>
              <w:t>Национальный стандарт</w:t>
            </w:r>
            <w:r w:rsidRPr="008662BC">
              <w:rPr>
                <w:rFonts w:ascii="Arial" w:hAnsi="Arial" w:cs="Arial"/>
                <w:b/>
                <w:bCs/>
                <w:sz w:val="20"/>
                <w:szCs w:val="20"/>
              </w:rPr>
              <w:t>"</w:t>
            </w:r>
          </w:p>
        </w:tc>
        <w:tc>
          <w:tcPr>
            <w:tcW w:w="2116" w:type="dxa"/>
            <w:tcBorders>
              <w:top w:val="single" w:sz="4" w:space="0" w:color="auto"/>
              <w:left w:val="nil"/>
              <w:bottom w:val="single" w:sz="4" w:space="0" w:color="auto"/>
              <w:right w:val="nil"/>
            </w:tcBorders>
            <w:vAlign w:val="bottom"/>
          </w:tcPr>
          <w:p w:rsidR="00487486" w:rsidRPr="008662BC" w:rsidRDefault="00487486" w:rsidP="00646AF9">
            <w:pPr>
              <w:jc w:val="center"/>
              <w:rPr>
                <w:rFonts w:ascii="Arial" w:hAnsi="Arial" w:cs="Arial"/>
                <w:sz w:val="20"/>
                <w:szCs w:val="20"/>
              </w:rPr>
            </w:pPr>
          </w:p>
        </w:tc>
        <w:tc>
          <w:tcPr>
            <w:tcW w:w="719" w:type="dxa"/>
            <w:tcBorders>
              <w:top w:val="single" w:sz="4" w:space="0" w:color="auto"/>
              <w:left w:val="nil"/>
              <w:bottom w:val="nil"/>
              <w:right w:val="nil"/>
            </w:tcBorders>
            <w:vAlign w:val="bottom"/>
          </w:tcPr>
          <w:p w:rsidR="00487486" w:rsidRPr="008662BC" w:rsidRDefault="00487486" w:rsidP="00646AF9">
            <w:pPr>
              <w:rPr>
                <w:rFonts w:ascii="Arial" w:hAnsi="Arial" w:cs="Arial"/>
                <w:sz w:val="20"/>
                <w:szCs w:val="20"/>
              </w:rPr>
            </w:pPr>
          </w:p>
        </w:tc>
        <w:tc>
          <w:tcPr>
            <w:tcW w:w="2551" w:type="dxa"/>
            <w:tcBorders>
              <w:top w:val="single" w:sz="4" w:space="0" w:color="auto"/>
              <w:left w:val="nil"/>
              <w:bottom w:val="nil"/>
              <w:right w:val="nil"/>
            </w:tcBorders>
            <w:vAlign w:val="bottom"/>
          </w:tcPr>
          <w:p w:rsidR="00487486" w:rsidRPr="008662BC" w:rsidRDefault="00487486" w:rsidP="00646AF9">
            <w:pPr>
              <w:jc w:val="center"/>
              <w:rPr>
                <w:rFonts w:ascii="Arial" w:hAnsi="Arial" w:cs="Arial"/>
                <w:sz w:val="20"/>
                <w:szCs w:val="20"/>
              </w:rPr>
            </w:pPr>
            <w:r w:rsidRPr="008662BC">
              <w:rPr>
                <w:rFonts w:ascii="Arial" w:hAnsi="Arial" w:cs="Arial"/>
                <w:sz w:val="20"/>
                <w:szCs w:val="20"/>
              </w:rPr>
              <w:t>А. С. Щекочихин</w:t>
            </w:r>
          </w:p>
        </w:tc>
        <w:tc>
          <w:tcPr>
            <w:tcW w:w="142" w:type="dxa"/>
            <w:tcBorders>
              <w:top w:val="single" w:sz="4" w:space="0" w:color="auto"/>
              <w:left w:val="nil"/>
              <w:bottom w:val="nil"/>
              <w:right w:val="single" w:sz="4" w:space="0" w:color="auto"/>
            </w:tcBorders>
            <w:vAlign w:val="bottom"/>
          </w:tcPr>
          <w:p w:rsidR="00487486" w:rsidRPr="004A148B" w:rsidRDefault="00487486" w:rsidP="00646AF9">
            <w:pPr>
              <w:rPr>
                <w:rFonts w:ascii="Arial" w:hAnsi="Arial" w:cs="Arial"/>
                <w:sz w:val="20"/>
                <w:szCs w:val="20"/>
              </w:rPr>
            </w:pPr>
          </w:p>
        </w:tc>
      </w:tr>
      <w:tr w:rsidR="00487486" w:rsidRPr="004A1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31" w:type="dxa"/>
            <w:gridSpan w:val="7"/>
            <w:tcBorders>
              <w:top w:val="nil"/>
              <w:left w:val="single" w:sz="4" w:space="0" w:color="auto"/>
              <w:bottom w:val="nil"/>
              <w:right w:val="nil"/>
            </w:tcBorders>
          </w:tcPr>
          <w:p w:rsidR="00487486" w:rsidRPr="008662BC" w:rsidRDefault="00487486" w:rsidP="00646AF9">
            <w:pPr>
              <w:ind w:left="57"/>
              <w:rPr>
                <w:rFonts w:ascii="Arial" w:hAnsi="Arial" w:cs="Arial"/>
                <w:sz w:val="20"/>
                <w:szCs w:val="20"/>
              </w:rPr>
            </w:pPr>
          </w:p>
        </w:tc>
        <w:tc>
          <w:tcPr>
            <w:tcW w:w="2116" w:type="dxa"/>
            <w:tcBorders>
              <w:top w:val="nil"/>
              <w:left w:val="nil"/>
              <w:bottom w:val="nil"/>
              <w:right w:val="nil"/>
            </w:tcBorders>
          </w:tcPr>
          <w:p w:rsidR="00487486" w:rsidRPr="008662BC" w:rsidRDefault="00487486" w:rsidP="00646AF9">
            <w:pPr>
              <w:jc w:val="center"/>
              <w:rPr>
                <w:rFonts w:ascii="Arial" w:hAnsi="Arial" w:cs="Arial"/>
                <w:sz w:val="20"/>
                <w:szCs w:val="20"/>
              </w:rPr>
            </w:pPr>
            <w:r w:rsidRPr="008662BC">
              <w:rPr>
                <w:rFonts w:ascii="Arial" w:hAnsi="Arial" w:cs="Arial"/>
                <w:sz w:val="20"/>
                <w:szCs w:val="20"/>
              </w:rPr>
              <w:t>(подпись)</w:t>
            </w:r>
          </w:p>
        </w:tc>
        <w:tc>
          <w:tcPr>
            <w:tcW w:w="719" w:type="dxa"/>
            <w:tcBorders>
              <w:top w:val="nil"/>
              <w:left w:val="nil"/>
              <w:bottom w:val="nil"/>
              <w:right w:val="nil"/>
            </w:tcBorders>
          </w:tcPr>
          <w:p w:rsidR="00487486" w:rsidRPr="008662BC" w:rsidRDefault="00487486" w:rsidP="00646AF9">
            <w:pPr>
              <w:rPr>
                <w:rFonts w:ascii="Arial" w:hAnsi="Arial" w:cs="Arial"/>
                <w:sz w:val="20"/>
                <w:szCs w:val="20"/>
              </w:rPr>
            </w:pPr>
          </w:p>
        </w:tc>
        <w:tc>
          <w:tcPr>
            <w:tcW w:w="2551" w:type="dxa"/>
            <w:tcBorders>
              <w:top w:val="nil"/>
              <w:left w:val="nil"/>
              <w:bottom w:val="nil"/>
              <w:right w:val="nil"/>
            </w:tcBorders>
          </w:tcPr>
          <w:p w:rsidR="00487486" w:rsidRPr="008662BC" w:rsidRDefault="00487486" w:rsidP="00646AF9">
            <w:pPr>
              <w:rPr>
                <w:rFonts w:ascii="Arial" w:hAnsi="Arial" w:cs="Arial"/>
                <w:sz w:val="20"/>
                <w:szCs w:val="20"/>
              </w:rPr>
            </w:pPr>
          </w:p>
        </w:tc>
        <w:tc>
          <w:tcPr>
            <w:tcW w:w="142" w:type="dxa"/>
            <w:tcBorders>
              <w:top w:val="nil"/>
              <w:left w:val="nil"/>
              <w:bottom w:val="nil"/>
              <w:right w:val="single" w:sz="4" w:space="0" w:color="auto"/>
            </w:tcBorders>
          </w:tcPr>
          <w:p w:rsidR="00487486" w:rsidRPr="004A148B" w:rsidRDefault="00487486" w:rsidP="00646AF9">
            <w:pPr>
              <w:rPr>
                <w:rFonts w:ascii="Arial" w:hAnsi="Arial" w:cs="Arial"/>
                <w:sz w:val="20"/>
                <w:szCs w:val="20"/>
              </w:rPr>
            </w:pPr>
          </w:p>
        </w:tc>
      </w:tr>
      <w:tr w:rsidR="00487486" w:rsidRPr="004A14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86" w:type="dxa"/>
            <w:tcBorders>
              <w:top w:val="nil"/>
              <w:left w:val="single" w:sz="4" w:space="0" w:color="auto"/>
              <w:bottom w:val="nil"/>
              <w:right w:val="nil"/>
            </w:tcBorders>
            <w:vAlign w:val="bottom"/>
          </w:tcPr>
          <w:p w:rsidR="00487486" w:rsidRPr="004A148B" w:rsidRDefault="00487486" w:rsidP="00646AF9">
            <w:pPr>
              <w:ind w:left="57"/>
              <w:rPr>
                <w:rFonts w:ascii="Arial" w:hAnsi="Arial" w:cs="Arial"/>
                <w:sz w:val="20"/>
                <w:szCs w:val="20"/>
              </w:rPr>
            </w:pPr>
            <w:r w:rsidRPr="004A148B">
              <w:rPr>
                <w:rFonts w:ascii="Arial" w:hAnsi="Arial" w:cs="Arial"/>
                <w:sz w:val="20"/>
                <w:szCs w:val="20"/>
              </w:rPr>
              <w:t xml:space="preserve">3.2. Дата            </w:t>
            </w:r>
          </w:p>
          <w:p w:rsidR="00487486" w:rsidRPr="004A148B" w:rsidRDefault="00487486" w:rsidP="00646AF9">
            <w:pPr>
              <w:ind w:left="57"/>
              <w:rPr>
                <w:rFonts w:ascii="Arial" w:hAnsi="Arial" w:cs="Arial"/>
                <w:sz w:val="20"/>
                <w:szCs w:val="20"/>
              </w:rPr>
            </w:pPr>
          </w:p>
        </w:tc>
        <w:tc>
          <w:tcPr>
            <w:tcW w:w="448" w:type="dxa"/>
            <w:tcBorders>
              <w:top w:val="nil"/>
              <w:left w:val="nil"/>
              <w:bottom w:val="single" w:sz="4" w:space="0" w:color="auto"/>
              <w:right w:val="nil"/>
            </w:tcBorders>
            <w:vAlign w:val="bottom"/>
          </w:tcPr>
          <w:p w:rsidR="00487486" w:rsidRPr="004A148B" w:rsidRDefault="00487486" w:rsidP="00CF779A">
            <w:pPr>
              <w:jc w:val="center"/>
              <w:rPr>
                <w:rFonts w:ascii="Arial" w:hAnsi="Arial" w:cs="Arial"/>
                <w:color w:val="000000"/>
                <w:sz w:val="20"/>
                <w:szCs w:val="20"/>
              </w:rPr>
            </w:pPr>
            <w:r w:rsidRPr="004A148B">
              <w:rPr>
                <w:rFonts w:ascii="Arial" w:hAnsi="Arial" w:cs="Arial"/>
                <w:color w:val="000000"/>
                <w:sz w:val="20"/>
                <w:szCs w:val="20"/>
              </w:rPr>
              <w:t>«01</w:t>
            </w:r>
          </w:p>
        </w:tc>
        <w:tc>
          <w:tcPr>
            <w:tcW w:w="293" w:type="dxa"/>
            <w:tcBorders>
              <w:top w:val="nil"/>
              <w:left w:val="nil"/>
              <w:bottom w:val="nil"/>
              <w:right w:val="nil"/>
            </w:tcBorders>
            <w:vAlign w:val="bottom"/>
          </w:tcPr>
          <w:p w:rsidR="00487486" w:rsidRPr="004A148B" w:rsidRDefault="00487486" w:rsidP="00646AF9">
            <w:pPr>
              <w:rPr>
                <w:rFonts w:ascii="Arial" w:hAnsi="Arial" w:cs="Arial"/>
                <w:color w:val="000000"/>
                <w:sz w:val="20"/>
                <w:szCs w:val="20"/>
              </w:rPr>
            </w:pPr>
            <w:r w:rsidRPr="004A148B">
              <w:rPr>
                <w:rFonts w:ascii="Arial" w:hAnsi="Arial" w:cs="Arial"/>
                <w:color w:val="000000"/>
                <w:sz w:val="20"/>
                <w:szCs w:val="20"/>
              </w:rPr>
              <w:t>»</w:t>
            </w:r>
          </w:p>
        </w:tc>
        <w:tc>
          <w:tcPr>
            <w:tcW w:w="1318" w:type="dxa"/>
            <w:tcBorders>
              <w:top w:val="nil"/>
              <w:left w:val="nil"/>
              <w:bottom w:val="single" w:sz="4" w:space="0" w:color="auto"/>
              <w:right w:val="nil"/>
            </w:tcBorders>
            <w:vAlign w:val="bottom"/>
          </w:tcPr>
          <w:p w:rsidR="00487486" w:rsidRPr="004A148B" w:rsidRDefault="00487486" w:rsidP="00CF779A">
            <w:pPr>
              <w:jc w:val="center"/>
              <w:rPr>
                <w:rFonts w:ascii="Arial" w:hAnsi="Arial" w:cs="Arial"/>
                <w:sz w:val="20"/>
                <w:szCs w:val="20"/>
              </w:rPr>
            </w:pPr>
            <w:r w:rsidRPr="004A148B">
              <w:rPr>
                <w:rFonts w:ascii="Arial" w:hAnsi="Arial" w:cs="Arial"/>
                <w:sz w:val="20"/>
                <w:szCs w:val="20"/>
              </w:rPr>
              <w:t>сентября</w:t>
            </w:r>
          </w:p>
        </w:tc>
        <w:tc>
          <w:tcPr>
            <w:tcW w:w="415" w:type="dxa"/>
            <w:tcBorders>
              <w:top w:val="nil"/>
              <w:left w:val="nil"/>
              <w:bottom w:val="nil"/>
              <w:right w:val="nil"/>
            </w:tcBorders>
            <w:vAlign w:val="bottom"/>
          </w:tcPr>
          <w:p w:rsidR="00487486" w:rsidRPr="004A148B" w:rsidRDefault="00487486" w:rsidP="00646AF9">
            <w:pPr>
              <w:jc w:val="right"/>
              <w:rPr>
                <w:rFonts w:ascii="Arial" w:hAnsi="Arial" w:cs="Arial"/>
                <w:sz w:val="20"/>
                <w:szCs w:val="20"/>
              </w:rPr>
            </w:pPr>
            <w:r w:rsidRPr="004A148B">
              <w:rPr>
                <w:rFonts w:ascii="Arial" w:hAnsi="Arial" w:cs="Arial"/>
                <w:sz w:val="20"/>
                <w:szCs w:val="20"/>
              </w:rPr>
              <w:t>20</w:t>
            </w:r>
          </w:p>
        </w:tc>
        <w:tc>
          <w:tcPr>
            <w:tcW w:w="307" w:type="dxa"/>
            <w:tcBorders>
              <w:top w:val="nil"/>
              <w:left w:val="nil"/>
              <w:bottom w:val="single" w:sz="4" w:space="0" w:color="auto"/>
              <w:right w:val="nil"/>
            </w:tcBorders>
            <w:vAlign w:val="bottom"/>
          </w:tcPr>
          <w:p w:rsidR="00487486" w:rsidRPr="004A148B" w:rsidRDefault="00487486" w:rsidP="00CF779A">
            <w:pPr>
              <w:rPr>
                <w:rFonts w:ascii="Arial" w:hAnsi="Arial" w:cs="Arial"/>
                <w:sz w:val="20"/>
                <w:szCs w:val="20"/>
              </w:rPr>
            </w:pPr>
            <w:r w:rsidRPr="004A148B">
              <w:rPr>
                <w:rFonts w:ascii="Arial" w:hAnsi="Arial" w:cs="Arial"/>
                <w:sz w:val="20"/>
                <w:szCs w:val="20"/>
              </w:rPr>
              <w:t>14</w:t>
            </w:r>
          </w:p>
        </w:tc>
        <w:tc>
          <w:tcPr>
            <w:tcW w:w="564" w:type="dxa"/>
            <w:tcBorders>
              <w:top w:val="nil"/>
              <w:left w:val="nil"/>
              <w:bottom w:val="nil"/>
              <w:right w:val="nil"/>
            </w:tcBorders>
            <w:vAlign w:val="bottom"/>
          </w:tcPr>
          <w:p w:rsidR="00487486" w:rsidRPr="004A148B" w:rsidRDefault="00487486" w:rsidP="00646AF9">
            <w:pPr>
              <w:ind w:left="57"/>
              <w:rPr>
                <w:rFonts w:ascii="Arial" w:hAnsi="Arial" w:cs="Arial"/>
                <w:sz w:val="20"/>
                <w:szCs w:val="20"/>
              </w:rPr>
            </w:pPr>
            <w:r w:rsidRPr="004A148B">
              <w:rPr>
                <w:rFonts w:ascii="Arial" w:hAnsi="Arial" w:cs="Arial"/>
                <w:sz w:val="20"/>
                <w:szCs w:val="20"/>
              </w:rPr>
              <w:t>г.</w:t>
            </w:r>
          </w:p>
        </w:tc>
        <w:tc>
          <w:tcPr>
            <w:tcW w:w="2116" w:type="dxa"/>
            <w:tcBorders>
              <w:top w:val="nil"/>
              <w:left w:val="nil"/>
              <w:bottom w:val="nil"/>
              <w:right w:val="nil"/>
            </w:tcBorders>
            <w:vAlign w:val="bottom"/>
          </w:tcPr>
          <w:p w:rsidR="00487486" w:rsidRPr="004A148B" w:rsidRDefault="00487486" w:rsidP="00646AF9">
            <w:pPr>
              <w:jc w:val="center"/>
              <w:rPr>
                <w:rFonts w:ascii="Arial" w:hAnsi="Arial" w:cs="Arial"/>
                <w:sz w:val="20"/>
                <w:szCs w:val="20"/>
              </w:rPr>
            </w:pPr>
            <w:r w:rsidRPr="004A148B">
              <w:rPr>
                <w:rFonts w:ascii="Arial" w:hAnsi="Arial" w:cs="Arial"/>
                <w:sz w:val="20"/>
                <w:szCs w:val="20"/>
              </w:rPr>
              <w:t>М.П.</w:t>
            </w:r>
          </w:p>
        </w:tc>
        <w:tc>
          <w:tcPr>
            <w:tcW w:w="3412" w:type="dxa"/>
            <w:gridSpan w:val="3"/>
            <w:tcBorders>
              <w:top w:val="nil"/>
              <w:left w:val="nil"/>
              <w:bottom w:val="nil"/>
              <w:right w:val="single" w:sz="4" w:space="0" w:color="auto"/>
            </w:tcBorders>
            <w:vAlign w:val="bottom"/>
          </w:tcPr>
          <w:p w:rsidR="00487486" w:rsidRPr="004A148B" w:rsidRDefault="00487486" w:rsidP="00646AF9">
            <w:pPr>
              <w:rPr>
                <w:rFonts w:ascii="Arial" w:hAnsi="Arial" w:cs="Arial"/>
                <w:sz w:val="20"/>
                <w:szCs w:val="20"/>
              </w:rPr>
            </w:pPr>
          </w:p>
        </w:tc>
      </w:tr>
      <w:tr w:rsidR="00487486" w:rsidRPr="00020D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831" w:type="dxa"/>
            <w:gridSpan w:val="7"/>
            <w:tcBorders>
              <w:top w:val="nil"/>
              <w:left w:val="single" w:sz="4" w:space="0" w:color="auto"/>
              <w:bottom w:val="single" w:sz="4" w:space="0" w:color="auto"/>
              <w:right w:val="nil"/>
            </w:tcBorders>
          </w:tcPr>
          <w:p w:rsidR="00487486" w:rsidRPr="00020D36" w:rsidRDefault="00487486" w:rsidP="00646AF9">
            <w:pPr>
              <w:ind w:left="57"/>
            </w:pPr>
          </w:p>
        </w:tc>
        <w:tc>
          <w:tcPr>
            <w:tcW w:w="2116" w:type="dxa"/>
            <w:tcBorders>
              <w:top w:val="nil"/>
              <w:left w:val="nil"/>
              <w:bottom w:val="single" w:sz="4" w:space="0" w:color="auto"/>
              <w:right w:val="nil"/>
            </w:tcBorders>
          </w:tcPr>
          <w:p w:rsidR="00487486" w:rsidRPr="00020D36" w:rsidRDefault="00487486" w:rsidP="00646AF9">
            <w:pPr>
              <w:jc w:val="center"/>
            </w:pPr>
          </w:p>
        </w:tc>
        <w:tc>
          <w:tcPr>
            <w:tcW w:w="3412" w:type="dxa"/>
            <w:gridSpan w:val="3"/>
            <w:tcBorders>
              <w:top w:val="nil"/>
              <w:left w:val="nil"/>
              <w:bottom w:val="single" w:sz="4" w:space="0" w:color="auto"/>
              <w:right w:val="single" w:sz="4" w:space="0" w:color="auto"/>
            </w:tcBorders>
          </w:tcPr>
          <w:p w:rsidR="00487486" w:rsidRPr="00020D36" w:rsidRDefault="00487486" w:rsidP="00646AF9"/>
        </w:tc>
      </w:tr>
    </w:tbl>
    <w:p w:rsidR="00487486" w:rsidRPr="00020D36" w:rsidRDefault="00487486" w:rsidP="00362E4C">
      <w:pPr>
        <w:pStyle w:val="Header"/>
        <w:tabs>
          <w:tab w:val="clear" w:pos="4677"/>
          <w:tab w:val="clear" w:pos="9355"/>
        </w:tabs>
        <w:rPr>
          <w:sz w:val="22"/>
          <w:szCs w:val="22"/>
        </w:rPr>
      </w:pPr>
    </w:p>
    <w:sectPr w:rsidR="00487486" w:rsidRPr="00020D36" w:rsidSect="00171025">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486" w:rsidRDefault="00487486">
      <w:r>
        <w:separator/>
      </w:r>
    </w:p>
  </w:endnote>
  <w:endnote w:type="continuationSeparator" w:id="1">
    <w:p w:rsidR="00487486" w:rsidRDefault="004874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486" w:rsidRDefault="00487486">
      <w:r>
        <w:separator/>
      </w:r>
    </w:p>
  </w:footnote>
  <w:footnote w:type="continuationSeparator" w:id="1">
    <w:p w:rsidR="00487486" w:rsidRDefault="00487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565D7"/>
    <w:multiLevelType w:val="hybridMultilevel"/>
    <w:tmpl w:val="8084EFFA"/>
    <w:lvl w:ilvl="0" w:tplc="8788EF58">
      <w:start w:val="6"/>
      <w:numFmt w:val="bullet"/>
      <w:lvlText w:val="-"/>
      <w:lvlJc w:val="left"/>
      <w:pPr>
        <w:tabs>
          <w:tab w:val="num" w:pos="1080"/>
        </w:tabs>
        <w:ind w:left="1080" w:hanging="360"/>
      </w:pPr>
      <w:rPr>
        <w:rFonts w:ascii="Times New Roman" w:eastAsia="Times New Roman" w:hAnsi="Times New Roman"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51A568E8"/>
    <w:multiLevelType w:val="hybridMultilevel"/>
    <w:tmpl w:val="FAC2AFC6"/>
    <w:lvl w:ilvl="0" w:tplc="04190001">
      <w:start w:val="1"/>
      <w:numFmt w:val="bullet"/>
      <w:lvlText w:val=""/>
      <w:lvlJc w:val="left"/>
      <w:pPr>
        <w:tabs>
          <w:tab w:val="num" w:pos="720"/>
        </w:tabs>
        <w:ind w:left="720" w:hanging="360"/>
      </w:pPr>
      <w:rPr>
        <w:rFonts w:ascii="Symbol" w:hAnsi="Symbol" w:cs="Symbol"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62BE6AF4"/>
    <w:multiLevelType w:val="hybridMultilevel"/>
    <w:tmpl w:val="99340002"/>
    <w:lvl w:ilvl="0" w:tplc="ADDA15EE">
      <w:start w:val="1"/>
      <w:numFmt w:val="decimal"/>
      <w:lvlText w:val="%1."/>
      <w:lvlJc w:val="left"/>
      <w:pPr>
        <w:tabs>
          <w:tab w:val="num" w:pos="1710"/>
        </w:tabs>
        <w:ind w:left="1710" w:hanging="99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1F22"/>
    <w:rsid w:val="00017415"/>
    <w:rsid w:val="00020262"/>
    <w:rsid w:val="000206A0"/>
    <w:rsid w:val="00020D36"/>
    <w:rsid w:val="00032B95"/>
    <w:rsid w:val="00034694"/>
    <w:rsid w:val="00041735"/>
    <w:rsid w:val="00060FC7"/>
    <w:rsid w:val="00063ECD"/>
    <w:rsid w:val="00066E91"/>
    <w:rsid w:val="000711A8"/>
    <w:rsid w:val="00076522"/>
    <w:rsid w:val="000838B3"/>
    <w:rsid w:val="000875B0"/>
    <w:rsid w:val="000A1079"/>
    <w:rsid w:val="000A1815"/>
    <w:rsid w:val="000B14AB"/>
    <w:rsid w:val="000B1E56"/>
    <w:rsid w:val="000B5DED"/>
    <w:rsid w:val="000B651C"/>
    <w:rsid w:val="000B6E9D"/>
    <w:rsid w:val="000B737A"/>
    <w:rsid w:val="000C14DB"/>
    <w:rsid w:val="000C4083"/>
    <w:rsid w:val="000C7456"/>
    <w:rsid w:val="000D42F3"/>
    <w:rsid w:val="000D48C5"/>
    <w:rsid w:val="000E5772"/>
    <w:rsid w:val="000F111E"/>
    <w:rsid w:val="00100535"/>
    <w:rsid w:val="001007E8"/>
    <w:rsid w:val="00113D2A"/>
    <w:rsid w:val="001216B0"/>
    <w:rsid w:val="001308E5"/>
    <w:rsid w:val="00136178"/>
    <w:rsid w:val="00137B6D"/>
    <w:rsid w:val="0014291E"/>
    <w:rsid w:val="00170BD8"/>
    <w:rsid w:val="00171025"/>
    <w:rsid w:val="001711BB"/>
    <w:rsid w:val="00193CD2"/>
    <w:rsid w:val="001B27B5"/>
    <w:rsid w:val="001B32E2"/>
    <w:rsid w:val="001B3C77"/>
    <w:rsid w:val="001B469A"/>
    <w:rsid w:val="001D4547"/>
    <w:rsid w:val="001D7FCF"/>
    <w:rsid w:val="001E091B"/>
    <w:rsid w:val="001E22DF"/>
    <w:rsid w:val="001E3380"/>
    <w:rsid w:val="001E6FE5"/>
    <w:rsid w:val="001F1A31"/>
    <w:rsid w:val="002223F5"/>
    <w:rsid w:val="002249FD"/>
    <w:rsid w:val="00227582"/>
    <w:rsid w:val="00232BD1"/>
    <w:rsid w:val="00240252"/>
    <w:rsid w:val="002425B5"/>
    <w:rsid w:val="002532E3"/>
    <w:rsid w:val="002A4A4E"/>
    <w:rsid w:val="002A6477"/>
    <w:rsid w:val="002A76EC"/>
    <w:rsid w:val="002B6EC7"/>
    <w:rsid w:val="002B74F7"/>
    <w:rsid w:val="002C49EA"/>
    <w:rsid w:val="002C7ABD"/>
    <w:rsid w:val="002F0976"/>
    <w:rsid w:val="002F5AAD"/>
    <w:rsid w:val="002F7389"/>
    <w:rsid w:val="00300876"/>
    <w:rsid w:val="003035A5"/>
    <w:rsid w:val="003039AC"/>
    <w:rsid w:val="00316206"/>
    <w:rsid w:val="00324629"/>
    <w:rsid w:val="00335BCE"/>
    <w:rsid w:val="00350F64"/>
    <w:rsid w:val="0035484A"/>
    <w:rsid w:val="00362545"/>
    <w:rsid w:val="00362647"/>
    <w:rsid w:val="00362E4C"/>
    <w:rsid w:val="00370767"/>
    <w:rsid w:val="0037143B"/>
    <w:rsid w:val="00372ABB"/>
    <w:rsid w:val="00377C5A"/>
    <w:rsid w:val="00386583"/>
    <w:rsid w:val="003935F4"/>
    <w:rsid w:val="003A6E91"/>
    <w:rsid w:val="003B197D"/>
    <w:rsid w:val="003C5CB9"/>
    <w:rsid w:val="003D1517"/>
    <w:rsid w:val="003D3D89"/>
    <w:rsid w:val="003F522C"/>
    <w:rsid w:val="00410C5F"/>
    <w:rsid w:val="0041369A"/>
    <w:rsid w:val="0041458E"/>
    <w:rsid w:val="00420F7F"/>
    <w:rsid w:val="00421541"/>
    <w:rsid w:val="00430327"/>
    <w:rsid w:val="00444C56"/>
    <w:rsid w:val="00452DDB"/>
    <w:rsid w:val="00461DD6"/>
    <w:rsid w:val="00466413"/>
    <w:rsid w:val="004861CF"/>
    <w:rsid w:val="00487486"/>
    <w:rsid w:val="004876BF"/>
    <w:rsid w:val="00490D45"/>
    <w:rsid w:val="00493400"/>
    <w:rsid w:val="00497155"/>
    <w:rsid w:val="004A0531"/>
    <w:rsid w:val="004A148B"/>
    <w:rsid w:val="004B3A77"/>
    <w:rsid w:val="004B453B"/>
    <w:rsid w:val="004E7CCD"/>
    <w:rsid w:val="004F031C"/>
    <w:rsid w:val="00503827"/>
    <w:rsid w:val="00524BAE"/>
    <w:rsid w:val="005267CA"/>
    <w:rsid w:val="00530464"/>
    <w:rsid w:val="00544A75"/>
    <w:rsid w:val="00546371"/>
    <w:rsid w:val="00562F72"/>
    <w:rsid w:val="00566734"/>
    <w:rsid w:val="005A1C56"/>
    <w:rsid w:val="005A7703"/>
    <w:rsid w:val="005B3730"/>
    <w:rsid w:val="005D4F95"/>
    <w:rsid w:val="005E00E7"/>
    <w:rsid w:val="005E3B5D"/>
    <w:rsid w:val="005E5DBE"/>
    <w:rsid w:val="005F046C"/>
    <w:rsid w:val="005F42DE"/>
    <w:rsid w:val="00601BF9"/>
    <w:rsid w:val="0060421A"/>
    <w:rsid w:val="0061463C"/>
    <w:rsid w:val="00615749"/>
    <w:rsid w:val="00622332"/>
    <w:rsid w:val="00633644"/>
    <w:rsid w:val="00634A7F"/>
    <w:rsid w:val="00646AF9"/>
    <w:rsid w:val="00652779"/>
    <w:rsid w:val="00664604"/>
    <w:rsid w:val="00665B77"/>
    <w:rsid w:val="00665FC2"/>
    <w:rsid w:val="00674408"/>
    <w:rsid w:val="00675040"/>
    <w:rsid w:val="006838D8"/>
    <w:rsid w:val="00693990"/>
    <w:rsid w:val="006D1A3A"/>
    <w:rsid w:val="006D617E"/>
    <w:rsid w:val="006E2C3D"/>
    <w:rsid w:val="007031C6"/>
    <w:rsid w:val="00717A2D"/>
    <w:rsid w:val="007343A0"/>
    <w:rsid w:val="00747E5A"/>
    <w:rsid w:val="007604ED"/>
    <w:rsid w:val="00783F5A"/>
    <w:rsid w:val="0078720B"/>
    <w:rsid w:val="00794632"/>
    <w:rsid w:val="007B4E81"/>
    <w:rsid w:val="007C0F5A"/>
    <w:rsid w:val="007D2B7D"/>
    <w:rsid w:val="007E2D79"/>
    <w:rsid w:val="007F51D0"/>
    <w:rsid w:val="008074E1"/>
    <w:rsid w:val="00812856"/>
    <w:rsid w:val="008279C2"/>
    <w:rsid w:val="00854BE4"/>
    <w:rsid w:val="00860349"/>
    <w:rsid w:val="008662BC"/>
    <w:rsid w:val="00870E4F"/>
    <w:rsid w:val="008953E7"/>
    <w:rsid w:val="008977AF"/>
    <w:rsid w:val="008B5FB4"/>
    <w:rsid w:val="008C71AA"/>
    <w:rsid w:val="008C73C9"/>
    <w:rsid w:val="008D09CE"/>
    <w:rsid w:val="008D7BB1"/>
    <w:rsid w:val="0091140A"/>
    <w:rsid w:val="00932B76"/>
    <w:rsid w:val="00955BB2"/>
    <w:rsid w:val="00956731"/>
    <w:rsid w:val="009736E0"/>
    <w:rsid w:val="009813CC"/>
    <w:rsid w:val="00987399"/>
    <w:rsid w:val="009A2006"/>
    <w:rsid w:val="009A440D"/>
    <w:rsid w:val="009A4D91"/>
    <w:rsid w:val="009A57B6"/>
    <w:rsid w:val="009A5CCF"/>
    <w:rsid w:val="009C11EC"/>
    <w:rsid w:val="009D3277"/>
    <w:rsid w:val="009D6355"/>
    <w:rsid w:val="009D7128"/>
    <w:rsid w:val="009E2B52"/>
    <w:rsid w:val="009E722C"/>
    <w:rsid w:val="009F62A9"/>
    <w:rsid w:val="00A10D72"/>
    <w:rsid w:val="00A20E08"/>
    <w:rsid w:val="00A20F8B"/>
    <w:rsid w:val="00A36826"/>
    <w:rsid w:val="00A4189D"/>
    <w:rsid w:val="00A61580"/>
    <w:rsid w:val="00A65BD1"/>
    <w:rsid w:val="00A71A3C"/>
    <w:rsid w:val="00A74096"/>
    <w:rsid w:val="00A82A21"/>
    <w:rsid w:val="00AC2114"/>
    <w:rsid w:val="00AD506E"/>
    <w:rsid w:val="00AD52C8"/>
    <w:rsid w:val="00AE0628"/>
    <w:rsid w:val="00AF1934"/>
    <w:rsid w:val="00AF3359"/>
    <w:rsid w:val="00B041EA"/>
    <w:rsid w:val="00B326C0"/>
    <w:rsid w:val="00B46F06"/>
    <w:rsid w:val="00B5149E"/>
    <w:rsid w:val="00B6664D"/>
    <w:rsid w:val="00B67398"/>
    <w:rsid w:val="00B71DE0"/>
    <w:rsid w:val="00B7492B"/>
    <w:rsid w:val="00B83D74"/>
    <w:rsid w:val="00B85B30"/>
    <w:rsid w:val="00B87B20"/>
    <w:rsid w:val="00BA0149"/>
    <w:rsid w:val="00BA2727"/>
    <w:rsid w:val="00BC56F4"/>
    <w:rsid w:val="00BD21EA"/>
    <w:rsid w:val="00BD45B2"/>
    <w:rsid w:val="00BE4792"/>
    <w:rsid w:val="00C23DF2"/>
    <w:rsid w:val="00C45728"/>
    <w:rsid w:val="00C46AF7"/>
    <w:rsid w:val="00C52416"/>
    <w:rsid w:val="00C55821"/>
    <w:rsid w:val="00C55937"/>
    <w:rsid w:val="00C70A7A"/>
    <w:rsid w:val="00C84CE5"/>
    <w:rsid w:val="00C97167"/>
    <w:rsid w:val="00CC5E61"/>
    <w:rsid w:val="00CE257F"/>
    <w:rsid w:val="00CE64D4"/>
    <w:rsid w:val="00CF779A"/>
    <w:rsid w:val="00D02B40"/>
    <w:rsid w:val="00D06ADA"/>
    <w:rsid w:val="00D20980"/>
    <w:rsid w:val="00D27F82"/>
    <w:rsid w:val="00D343F5"/>
    <w:rsid w:val="00D34452"/>
    <w:rsid w:val="00D42645"/>
    <w:rsid w:val="00D6283E"/>
    <w:rsid w:val="00D941FF"/>
    <w:rsid w:val="00DA1050"/>
    <w:rsid w:val="00DB2D56"/>
    <w:rsid w:val="00DC2836"/>
    <w:rsid w:val="00DC547F"/>
    <w:rsid w:val="00DD2D0E"/>
    <w:rsid w:val="00DD3645"/>
    <w:rsid w:val="00DF1F0D"/>
    <w:rsid w:val="00E071AA"/>
    <w:rsid w:val="00E13D34"/>
    <w:rsid w:val="00E1748F"/>
    <w:rsid w:val="00E30974"/>
    <w:rsid w:val="00E366AB"/>
    <w:rsid w:val="00E45A65"/>
    <w:rsid w:val="00E54BE8"/>
    <w:rsid w:val="00E63856"/>
    <w:rsid w:val="00E65B28"/>
    <w:rsid w:val="00E73614"/>
    <w:rsid w:val="00E7667E"/>
    <w:rsid w:val="00E92ABA"/>
    <w:rsid w:val="00E92E4A"/>
    <w:rsid w:val="00EB2513"/>
    <w:rsid w:val="00EB5842"/>
    <w:rsid w:val="00EB67E4"/>
    <w:rsid w:val="00EC06F5"/>
    <w:rsid w:val="00EE30B4"/>
    <w:rsid w:val="00EE3C24"/>
    <w:rsid w:val="00EE4631"/>
    <w:rsid w:val="00EF05E0"/>
    <w:rsid w:val="00F01F22"/>
    <w:rsid w:val="00F02F3F"/>
    <w:rsid w:val="00F046E9"/>
    <w:rsid w:val="00F21BAB"/>
    <w:rsid w:val="00F23252"/>
    <w:rsid w:val="00F26EFE"/>
    <w:rsid w:val="00F331E3"/>
    <w:rsid w:val="00F36BA0"/>
    <w:rsid w:val="00F3767F"/>
    <w:rsid w:val="00F41CA7"/>
    <w:rsid w:val="00F44597"/>
    <w:rsid w:val="00F74B4F"/>
    <w:rsid w:val="00F87FA1"/>
    <w:rsid w:val="00F957EA"/>
    <w:rsid w:val="00FA1B7B"/>
    <w:rsid w:val="00FB1375"/>
    <w:rsid w:val="00FB1407"/>
    <w:rsid w:val="00FD1AE8"/>
    <w:rsid w:val="00FE4D06"/>
    <w:rsid w:val="00FE50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DED"/>
    <w:pPr>
      <w:autoSpaceDE w:val="0"/>
      <w:autoSpaceDN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B5DED"/>
    <w:pPr>
      <w:tabs>
        <w:tab w:val="center" w:pos="4677"/>
        <w:tab w:val="right" w:pos="9355"/>
      </w:tabs>
    </w:pPr>
  </w:style>
  <w:style w:type="character" w:customStyle="1" w:styleId="HeaderChar">
    <w:name w:val="Header Char"/>
    <w:basedOn w:val="DefaultParagraphFont"/>
    <w:link w:val="Header"/>
    <w:uiPriority w:val="99"/>
    <w:semiHidden/>
    <w:locked/>
    <w:rPr>
      <w:sz w:val="24"/>
      <w:szCs w:val="24"/>
    </w:rPr>
  </w:style>
  <w:style w:type="paragraph" w:styleId="Footer">
    <w:name w:val="footer"/>
    <w:basedOn w:val="Normal"/>
    <w:link w:val="FooterChar"/>
    <w:uiPriority w:val="99"/>
    <w:rsid w:val="000B5DED"/>
    <w:pPr>
      <w:tabs>
        <w:tab w:val="center" w:pos="4677"/>
        <w:tab w:val="right" w:pos="9355"/>
      </w:tabs>
    </w:pPr>
  </w:style>
  <w:style w:type="character" w:customStyle="1" w:styleId="FooterChar">
    <w:name w:val="Footer Char"/>
    <w:basedOn w:val="DefaultParagraphFont"/>
    <w:link w:val="Footer"/>
    <w:uiPriority w:val="99"/>
    <w:semiHidden/>
    <w:locked/>
    <w:rPr>
      <w:sz w:val="24"/>
      <w:szCs w:val="24"/>
    </w:rPr>
  </w:style>
  <w:style w:type="paragraph" w:customStyle="1" w:styleId="OEM">
    <w:name w:val="Нормальный (OEM)"/>
    <w:basedOn w:val="Normal"/>
    <w:next w:val="Normal"/>
    <w:uiPriority w:val="99"/>
    <w:rsid w:val="000B5DED"/>
    <w:pPr>
      <w:jc w:val="both"/>
    </w:pPr>
    <w:rPr>
      <w:rFonts w:ascii="Courier New" w:hAnsi="Courier New" w:cs="Courier New"/>
      <w:sz w:val="20"/>
      <w:szCs w:val="20"/>
    </w:rPr>
  </w:style>
  <w:style w:type="paragraph" w:styleId="BalloonText">
    <w:name w:val="Balloon Text"/>
    <w:basedOn w:val="Normal"/>
    <w:link w:val="BalloonTextChar"/>
    <w:uiPriority w:val="99"/>
    <w:semiHidden/>
    <w:rsid w:val="000A18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827"/>
    <w:rPr>
      <w:rFonts w:ascii="Tahoma" w:hAnsi="Tahoma" w:cs="Tahoma"/>
      <w:sz w:val="16"/>
      <w:szCs w:val="16"/>
      <w:lang w:val="ru-RU" w:eastAsia="ru-RU"/>
    </w:rPr>
  </w:style>
  <w:style w:type="table" w:styleId="TableGrid">
    <w:name w:val="Table Grid"/>
    <w:basedOn w:val="TableNormal"/>
    <w:uiPriority w:val="99"/>
    <w:rsid w:val="00CE64D4"/>
    <w:pPr>
      <w:autoSpaceDE w:val="0"/>
      <w:autoSpaceDN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3B197D"/>
    <w:pPr>
      <w:widowControl w:val="0"/>
      <w:autoSpaceDE w:val="0"/>
      <w:autoSpaceDN w:val="0"/>
      <w:jc w:val="both"/>
    </w:pPr>
    <w:rPr>
      <w:rFonts w:ascii="Courier New" w:hAnsi="Courier New" w:cs="Courier New"/>
      <w:sz w:val="20"/>
      <w:szCs w:val="20"/>
    </w:rPr>
  </w:style>
  <w:style w:type="paragraph" w:styleId="BodyTextIndent3">
    <w:name w:val="Body Text Indent 3"/>
    <w:basedOn w:val="Normal"/>
    <w:link w:val="BodyTextIndent3Char"/>
    <w:uiPriority w:val="99"/>
    <w:rsid w:val="00232BD1"/>
    <w:pPr>
      <w:autoSpaceDE/>
      <w:autoSpaceDN/>
      <w:spacing w:after="120"/>
      <w:ind w:left="283"/>
    </w:pPr>
    <w:rPr>
      <w:sz w:val="16"/>
      <w:szCs w:val="16"/>
    </w:rPr>
  </w:style>
  <w:style w:type="character" w:customStyle="1" w:styleId="BodyTextIndent3Char">
    <w:name w:val="Body Text Indent 3 Char"/>
    <w:basedOn w:val="DefaultParagraphFont"/>
    <w:link w:val="BodyTextIndent3"/>
    <w:uiPriority w:val="99"/>
    <w:locked/>
    <w:rsid w:val="00B67398"/>
    <w:rPr>
      <w:sz w:val="16"/>
      <w:szCs w:val="16"/>
    </w:rPr>
  </w:style>
  <w:style w:type="character" w:customStyle="1" w:styleId="SUBST">
    <w:name w:val="__SUBST"/>
    <w:uiPriority w:val="99"/>
    <w:rsid w:val="00232BD1"/>
    <w:rPr>
      <w:b/>
      <w:bCs/>
      <w:i/>
      <w:iCs/>
      <w:sz w:val="22"/>
      <w:szCs w:val="22"/>
    </w:rPr>
  </w:style>
  <w:style w:type="paragraph" w:styleId="PlainText">
    <w:name w:val="Plain Text"/>
    <w:aliases w:val="Текст Знак Знак Знак Знак Знак Знак Знак Знак Знак Знак"/>
    <w:basedOn w:val="Normal"/>
    <w:link w:val="PlainTextChar"/>
    <w:uiPriority w:val="99"/>
    <w:rsid w:val="00232BD1"/>
    <w:pPr>
      <w:autoSpaceDE/>
      <w:autoSpaceDN/>
      <w:jc w:val="both"/>
    </w:pPr>
  </w:style>
  <w:style w:type="character" w:customStyle="1" w:styleId="PlainTextChar">
    <w:name w:val="Plain Text Char"/>
    <w:aliases w:val="Текст Знак Знак Знак Знак Знак Знак Знак Знак Знак Знак Char"/>
    <w:basedOn w:val="DefaultParagraphFont"/>
    <w:link w:val="PlainText"/>
    <w:uiPriority w:val="99"/>
    <w:semiHidden/>
    <w:locked/>
    <w:rsid w:val="00D42645"/>
    <w:rPr>
      <w:sz w:val="24"/>
      <w:szCs w:val="24"/>
      <w:lang w:val="ru-RU" w:eastAsia="ru-RU"/>
    </w:rPr>
  </w:style>
  <w:style w:type="paragraph" w:styleId="BodyTextIndent">
    <w:name w:val="Body Text Indent"/>
    <w:basedOn w:val="Normal"/>
    <w:link w:val="BodyTextIndentChar"/>
    <w:uiPriority w:val="99"/>
    <w:rsid w:val="00034694"/>
    <w:pPr>
      <w:spacing w:after="120" w:line="480" w:lineRule="auto"/>
    </w:pPr>
  </w:style>
  <w:style w:type="character" w:customStyle="1" w:styleId="BodyTextIndentChar">
    <w:name w:val="Body Text Indent Char"/>
    <w:basedOn w:val="DefaultParagraphFont"/>
    <w:link w:val="BodyTextIndent"/>
    <w:uiPriority w:val="99"/>
    <w:semiHidden/>
    <w:locked/>
    <w:rPr>
      <w:sz w:val="24"/>
      <w:szCs w:val="24"/>
    </w:rPr>
  </w:style>
  <w:style w:type="paragraph" w:customStyle="1" w:styleId="BodyText21">
    <w:name w:val="Body Text 21"/>
    <w:basedOn w:val="Normal"/>
    <w:uiPriority w:val="99"/>
    <w:rsid w:val="00D42645"/>
    <w:pPr>
      <w:autoSpaceDE/>
      <w:autoSpaceDN/>
      <w:spacing w:line="360" w:lineRule="auto"/>
      <w:ind w:firstLine="567"/>
      <w:jc w:val="both"/>
    </w:pPr>
    <w:rPr>
      <w:rFonts w:ascii="Times New Roman CYR" w:hAnsi="Times New Roman CYR" w:cs="Times New Roman CYR"/>
    </w:rPr>
  </w:style>
  <w:style w:type="character" w:styleId="Hyperlink">
    <w:name w:val="Hyperlink"/>
    <w:basedOn w:val="DefaultParagraphFont"/>
    <w:uiPriority w:val="99"/>
    <w:rsid w:val="00FB1407"/>
    <w:rPr>
      <w:color w:val="0000FF"/>
      <w:u w:val="single"/>
    </w:rPr>
  </w:style>
  <w:style w:type="paragraph" w:styleId="BodyText3">
    <w:name w:val="Body Text 3"/>
    <w:basedOn w:val="Normal"/>
    <w:link w:val="BodyText3Char"/>
    <w:uiPriority w:val="99"/>
    <w:rsid w:val="00FB1407"/>
    <w:pPr>
      <w:spacing w:after="120"/>
    </w:pPr>
    <w:rPr>
      <w:sz w:val="16"/>
      <w:szCs w:val="16"/>
    </w:rPr>
  </w:style>
  <w:style w:type="character" w:customStyle="1" w:styleId="BodyText3Char">
    <w:name w:val="Body Text 3 Char"/>
    <w:basedOn w:val="DefaultParagraphFont"/>
    <w:link w:val="BodyText3"/>
    <w:uiPriority w:val="99"/>
    <w:semiHidden/>
    <w:locked/>
    <w:rPr>
      <w:sz w:val="16"/>
      <w:szCs w:val="16"/>
    </w:rPr>
  </w:style>
  <w:style w:type="paragraph" w:styleId="BodyText2">
    <w:name w:val="Body Text 2"/>
    <w:basedOn w:val="Normal"/>
    <w:link w:val="BodyText2Char"/>
    <w:uiPriority w:val="99"/>
    <w:rsid w:val="005A7703"/>
    <w:pPr>
      <w:spacing w:after="120" w:line="480" w:lineRule="auto"/>
    </w:pPr>
  </w:style>
  <w:style w:type="character" w:customStyle="1" w:styleId="BodyText2Char">
    <w:name w:val="Body Text 2 Char"/>
    <w:basedOn w:val="DefaultParagraphFont"/>
    <w:link w:val="BodyText2"/>
    <w:uiPriority w:val="99"/>
    <w:semiHidden/>
    <w:locked/>
    <w:rPr>
      <w:sz w:val="24"/>
      <w:szCs w:val="24"/>
    </w:rPr>
  </w:style>
  <w:style w:type="paragraph" w:customStyle="1" w:styleId="a">
    <w:name w:val="Знак"/>
    <w:basedOn w:val="Normal"/>
    <w:uiPriority w:val="99"/>
    <w:rsid w:val="00503827"/>
    <w:pPr>
      <w:autoSpaceDE/>
      <w:autoSpaceDN/>
      <w:spacing w:after="160" w:line="240" w:lineRule="exact"/>
    </w:pPr>
    <w:rPr>
      <w:rFonts w:ascii="Verdana" w:hAnsi="Verdana" w:cs="Verdana"/>
      <w:sz w:val="20"/>
      <w:szCs w:val="20"/>
      <w:lang w:val="en-US" w:eastAsia="en-US"/>
    </w:rPr>
  </w:style>
  <w:style w:type="character" w:styleId="FootnoteReference">
    <w:name w:val="footnote reference"/>
    <w:basedOn w:val="DefaultParagraphFont"/>
    <w:uiPriority w:val="99"/>
    <w:semiHidden/>
    <w:rsid w:val="00652779"/>
    <w:rPr>
      <w:vertAlign w:val="superscript"/>
    </w:rPr>
  </w:style>
  <w:style w:type="paragraph" w:styleId="BodyText">
    <w:name w:val="Body Text"/>
    <w:basedOn w:val="Normal"/>
    <w:link w:val="BodyTextChar"/>
    <w:uiPriority w:val="99"/>
    <w:rsid w:val="00652779"/>
    <w:pPr>
      <w:spacing w:after="120"/>
    </w:pPr>
  </w:style>
  <w:style w:type="character" w:customStyle="1" w:styleId="BodyTextChar">
    <w:name w:val="Body Text Char"/>
    <w:basedOn w:val="DefaultParagraphFont"/>
    <w:link w:val="BodyText"/>
    <w:uiPriority w:val="99"/>
    <w:semiHidden/>
    <w:locked/>
    <w:rPr>
      <w:sz w:val="24"/>
      <w:szCs w:val="24"/>
    </w:rPr>
  </w:style>
  <w:style w:type="character" w:customStyle="1" w:styleId="titletwo">
    <w:name w:val="title_two"/>
    <w:basedOn w:val="DefaultParagraphFont"/>
    <w:uiPriority w:val="99"/>
    <w:rsid w:val="006E2C3D"/>
  </w:style>
  <w:style w:type="paragraph" w:customStyle="1" w:styleId="a0">
    <w:name w:val="Таблицы (моноширинный)"/>
    <w:basedOn w:val="Normal"/>
    <w:next w:val="Normal"/>
    <w:uiPriority w:val="99"/>
    <w:rsid w:val="00E7667E"/>
    <w:pPr>
      <w:adjustRightInd w:val="0"/>
      <w:jc w:val="both"/>
    </w:pPr>
    <w:rPr>
      <w:rFonts w:ascii="Courier New" w:hAnsi="Courier New" w:cs="Courier New"/>
    </w:rPr>
  </w:style>
  <w:style w:type="character" w:customStyle="1" w:styleId="a1">
    <w:name w:val="Продолжение ссылки"/>
    <w:basedOn w:val="DefaultParagraphFont"/>
    <w:uiPriority w:val="99"/>
    <w:rsid w:val="00E7667E"/>
  </w:style>
  <w:style w:type="paragraph" w:customStyle="1" w:styleId="a2">
    <w:name w:val="Знак Знак"/>
    <w:basedOn w:val="Normal"/>
    <w:uiPriority w:val="99"/>
    <w:rsid w:val="00E1748F"/>
    <w:pPr>
      <w:autoSpaceDE/>
      <w:autoSpaceDN/>
      <w:spacing w:before="100" w:beforeAutospacing="1" w:after="100" w:afterAutospacing="1"/>
    </w:pPr>
    <w:rPr>
      <w:rFonts w:ascii="Tahoma" w:hAnsi="Tahoma" w:cs="Tahoma"/>
      <w:sz w:val="20"/>
      <w:szCs w:val="20"/>
      <w:lang w:val="en-US" w:eastAsia="en-US"/>
    </w:rPr>
  </w:style>
  <w:style w:type="paragraph" w:customStyle="1" w:styleId="prilozhenie">
    <w:name w:val="prilozhenie"/>
    <w:basedOn w:val="Normal"/>
    <w:uiPriority w:val="99"/>
    <w:rsid w:val="000206A0"/>
    <w:pPr>
      <w:autoSpaceDE/>
      <w:autoSpaceDN/>
      <w:ind w:firstLine="709"/>
      <w:jc w:val="both"/>
    </w:pPr>
    <w:rPr>
      <w:lang w:eastAsia="en-US"/>
    </w:rPr>
  </w:style>
  <w:style w:type="paragraph" w:customStyle="1" w:styleId="TableText">
    <w:name w:val="Table Text"/>
    <w:uiPriority w:val="99"/>
    <w:rsid w:val="00F44597"/>
    <w:pPr>
      <w:widowControl w:val="0"/>
      <w:autoSpaceDE w:val="0"/>
      <w:autoSpaceDN w:val="0"/>
      <w:adjustRightInd w:val="0"/>
      <w:spacing w:before="20" w:after="2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s-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1181</Words>
  <Characters>6733</Characters>
  <Application>Microsoft Office Outlook</Application>
  <DocSecurity>0</DocSecurity>
  <Lines>0</Lines>
  <Paragraphs>0</Paragraphs>
  <ScaleCrop>false</ScaleCrop>
  <Company>garant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16</dc:title>
  <dc:subject/>
  <dc:creator>natasha bezlepkina</dc:creator>
  <cp:keywords/>
  <dc:description/>
  <cp:lastModifiedBy>fomina</cp:lastModifiedBy>
  <cp:revision>5</cp:revision>
  <cp:lastPrinted>2012-12-26T06:32:00Z</cp:lastPrinted>
  <dcterms:created xsi:type="dcterms:W3CDTF">2014-08-29T13:54:00Z</dcterms:created>
  <dcterms:modified xsi:type="dcterms:W3CDTF">2014-09-01T15:10:00Z</dcterms:modified>
</cp:coreProperties>
</file>