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F86FCB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99" w:type="dxa"/>
            <w:gridSpan w:val="4"/>
          </w:tcPr>
          <w:p w:rsidR="00457E92" w:rsidRDefault="008037C9" w:rsidP="008037C9">
            <w:pPr>
              <w:ind w:left="142"/>
            </w:pPr>
            <w:r w:rsidRPr="0088553E">
              <w:rPr>
                <w:b/>
                <w:i/>
                <w:sz w:val="24"/>
                <w:szCs w:val="24"/>
              </w:rPr>
              <w:t>09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Pr="0088553E">
              <w:rPr>
                <w:b/>
                <w:i/>
                <w:sz w:val="24"/>
                <w:szCs w:val="24"/>
              </w:rPr>
              <w:t>11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8F3B4E" w:rsidRPr="0088553E">
              <w:rPr>
                <w:b/>
                <w:i/>
                <w:sz w:val="24"/>
                <w:szCs w:val="24"/>
              </w:rPr>
              <w:t>1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310255">
        <w:trPr>
          <w:trHeight w:val="315"/>
        </w:trPr>
        <w:tc>
          <w:tcPr>
            <w:tcW w:w="10916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ED44F1">
        <w:trPr>
          <w:trHeight w:val="225"/>
        </w:trPr>
        <w:tc>
          <w:tcPr>
            <w:tcW w:w="10916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037C9">
              <w:rPr>
                <w:sz w:val="24"/>
                <w:szCs w:val="24"/>
              </w:rPr>
              <w:t>09</w:t>
            </w:r>
            <w:r w:rsidR="00A56490" w:rsidRPr="0033415A">
              <w:rPr>
                <w:sz w:val="24"/>
                <w:szCs w:val="24"/>
              </w:rPr>
              <w:t>.</w:t>
            </w:r>
            <w:r w:rsidR="008037C9">
              <w:rPr>
                <w:sz w:val="24"/>
                <w:szCs w:val="24"/>
              </w:rPr>
              <w:t>11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2.2.</w:t>
            </w:r>
            <w:r w:rsidRPr="008037C9">
              <w:rPr>
                <w:sz w:val="24"/>
                <w:szCs w:val="24"/>
              </w:rPr>
              <w:t xml:space="preserve"> Дата проведения заседания</w:t>
            </w:r>
            <w:r w:rsidR="000E2CCC" w:rsidRPr="008037C9">
              <w:rPr>
                <w:sz w:val="24"/>
                <w:szCs w:val="24"/>
              </w:rPr>
              <w:t xml:space="preserve"> </w:t>
            </w:r>
            <w:r w:rsidRPr="008037C9">
              <w:rPr>
                <w:sz w:val="24"/>
                <w:szCs w:val="24"/>
              </w:rPr>
              <w:t xml:space="preserve">Совета директоров: </w:t>
            </w:r>
            <w:r w:rsidR="00DE1B46" w:rsidRPr="008037C9">
              <w:rPr>
                <w:sz w:val="24"/>
                <w:szCs w:val="24"/>
              </w:rPr>
              <w:t>1</w:t>
            </w:r>
            <w:r w:rsidR="008037C9" w:rsidRPr="008037C9">
              <w:rPr>
                <w:sz w:val="24"/>
                <w:szCs w:val="24"/>
              </w:rPr>
              <w:t>0</w:t>
            </w:r>
            <w:r w:rsidRPr="008037C9">
              <w:rPr>
                <w:sz w:val="24"/>
                <w:szCs w:val="24"/>
              </w:rPr>
              <w:t>.</w:t>
            </w:r>
            <w:r w:rsidR="008037C9" w:rsidRPr="008037C9">
              <w:rPr>
                <w:sz w:val="24"/>
                <w:szCs w:val="24"/>
              </w:rPr>
              <w:t>11</w:t>
            </w:r>
            <w:r w:rsidRPr="008037C9">
              <w:rPr>
                <w:sz w:val="24"/>
                <w:szCs w:val="24"/>
              </w:rPr>
              <w:t>.20</w:t>
            </w:r>
            <w:r w:rsidR="00546880" w:rsidRPr="008037C9">
              <w:rPr>
                <w:sz w:val="24"/>
                <w:szCs w:val="24"/>
              </w:rPr>
              <w:t>2</w:t>
            </w:r>
            <w:r w:rsidR="008F3B4E" w:rsidRPr="008037C9">
              <w:rPr>
                <w:sz w:val="24"/>
                <w:szCs w:val="24"/>
              </w:rPr>
              <w:t>1</w:t>
            </w:r>
            <w:r w:rsidRPr="008037C9">
              <w:rPr>
                <w:sz w:val="24"/>
                <w:szCs w:val="24"/>
              </w:rPr>
              <w:t>г.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2.3.</w:t>
            </w:r>
            <w:r w:rsidRPr="008037C9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ED44F1" w:rsidRPr="00FB22C4" w:rsidRDefault="00ED44F1" w:rsidP="000E2CCC">
            <w:pPr>
              <w:ind w:left="251" w:right="403"/>
              <w:rPr>
                <w:color w:val="FF0000"/>
                <w:sz w:val="24"/>
                <w:szCs w:val="24"/>
              </w:rPr>
            </w:pPr>
          </w:p>
          <w:p w:rsidR="00DE1B46" w:rsidRPr="00A61077" w:rsidRDefault="00DE1B46" w:rsidP="00485A7E">
            <w:pPr>
              <w:numPr>
                <w:ilvl w:val="0"/>
                <w:numId w:val="5"/>
              </w:numPr>
              <w:autoSpaceDE/>
              <w:autoSpaceDN/>
              <w:spacing w:after="120"/>
              <w:ind w:left="391" w:right="686" w:hanging="142"/>
              <w:jc w:val="both"/>
              <w:rPr>
                <w:rFonts w:eastAsia="Calibri"/>
                <w:sz w:val="24"/>
                <w:szCs w:val="24"/>
              </w:rPr>
            </w:pPr>
            <w:r w:rsidRPr="00A61077">
              <w:rPr>
                <w:rFonts w:eastAsia="Calibri"/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DE1B46" w:rsidRPr="00A61077" w:rsidRDefault="001653A6" w:rsidP="00485A7E">
            <w:pPr>
              <w:pStyle w:val="a7"/>
              <w:numPr>
                <w:ilvl w:val="0"/>
                <w:numId w:val="5"/>
              </w:numPr>
              <w:spacing w:before="0" w:beforeAutospacing="0" w:after="120" w:afterAutospacing="0"/>
              <w:ind w:left="391" w:right="686" w:hanging="142"/>
              <w:contextualSpacing/>
              <w:jc w:val="both"/>
            </w:pPr>
            <w:r w:rsidRPr="00A61077">
              <w:t xml:space="preserve">Рассмотрение и утверждение итогов деятельности АО Банк «Национальный стандарт» за </w:t>
            </w:r>
            <w:r w:rsidRPr="00A61077">
              <w:rPr>
                <w:lang w:val="en-US"/>
              </w:rPr>
              <w:t>III</w:t>
            </w:r>
            <w:r w:rsidRPr="00A61077">
              <w:t xml:space="preserve"> квартал 2021 года и 9 месяцев 2021 года</w:t>
            </w:r>
            <w:r w:rsidR="00DE1B46" w:rsidRPr="00A61077">
              <w:t>.</w:t>
            </w:r>
          </w:p>
          <w:p w:rsidR="00DE1B46" w:rsidRPr="00A61077" w:rsidRDefault="00A61077" w:rsidP="00485A7E">
            <w:pPr>
              <w:numPr>
                <w:ilvl w:val="0"/>
                <w:numId w:val="5"/>
              </w:numPr>
              <w:autoSpaceDE/>
              <w:autoSpaceDN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A61077">
              <w:rPr>
                <w:rFonts w:eastAsia="Calibri"/>
                <w:sz w:val="24"/>
                <w:szCs w:val="24"/>
              </w:rPr>
              <w:t>Утверждение</w:t>
            </w:r>
            <w:r w:rsidRPr="00A61077">
              <w:rPr>
                <w:sz w:val="24"/>
                <w:szCs w:val="24"/>
              </w:rPr>
              <w:t xml:space="preserve"> </w:t>
            </w:r>
            <w:r w:rsidRPr="00A61077">
              <w:rPr>
                <w:rFonts w:eastAsia="Calibri"/>
                <w:sz w:val="24"/>
                <w:szCs w:val="24"/>
              </w:rPr>
              <w:t xml:space="preserve">Отчёта об уровне рисков АО Банк «Национальный стандарт» в </w:t>
            </w:r>
            <w:r w:rsidRPr="00A6107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61077">
              <w:rPr>
                <w:rFonts w:eastAsia="Calibri"/>
                <w:sz w:val="24"/>
                <w:szCs w:val="24"/>
              </w:rPr>
              <w:t>II квартале 2021 года</w:t>
            </w:r>
            <w:r w:rsidR="00DE1B46" w:rsidRPr="00A61077">
              <w:rPr>
                <w:sz w:val="24"/>
                <w:szCs w:val="24"/>
              </w:rPr>
              <w:t>.</w:t>
            </w:r>
          </w:p>
          <w:p w:rsidR="005A3517" w:rsidRPr="00A61077" w:rsidRDefault="00A61077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A61077">
              <w:rPr>
                <w:sz w:val="24"/>
                <w:szCs w:val="24"/>
              </w:rPr>
              <w:t xml:space="preserve">Утверждение Отчета Службы внутреннего аудита АО Банк </w:t>
            </w:r>
            <w:bookmarkStart w:id="0" w:name="_GoBack"/>
            <w:bookmarkEnd w:id="0"/>
            <w:r w:rsidRPr="00A61077">
              <w:rPr>
                <w:sz w:val="24"/>
                <w:szCs w:val="24"/>
              </w:rPr>
              <w:t>«Национальный стандарт» по итогам работы за первое полугодие 2021 года</w:t>
            </w:r>
            <w:r w:rsidR="00DE1B46" w:rsidRPr="00A61077">
              <w:rPr>
                <w:sz w:val="24"/>
                <w:szCs w:val="24"/>
              </w:rPr>
              <w:t>.</w:t>
            </w:r>
          </w:p>
          <w:p w:rsidR="00A61077" w:rsidRPr="00A61077" w:rsidRDefault="00A61077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A61077">
              <w:rPr>
                <w:rFonts w:eastAsia="Calibri"/>
                <w:sz w:val="24"/>
                <w:szCs w:val="24"/>
              </w:rPr>
              <w:t>Утверждение новой редакции Положения о системе оплаты труда.</w:t>
            </w:r>
            <w:r w:rsidRPr="00A61077">
              <w:rPr>
                <w:sz w:val="24"/>
                <w:szCs w:val="24"/>
              </w:rPr>
              <w:t xml:space="preserve"> </w:t>
            </w:r>
            <w:r w:rsidR="00F86FCB" w:rsidRPr="00F86FCB">
              <w:rPr>
                <w:sz w:val="24"/>
                <w:szCs w:val="24"/>
              </w:rPr>
              <w:t>Об актуализации</w:t>
            </w:r>
            <w:r w:rsidRPr="00A61077">
              <w:rPr>
                <w:sz w:val="24"/>
                <w:szCs w:val="24"/>
              </w:rPr>
              <w:t xml:space="preserve"> внутреннего документа Банка, определяющего порядок индексации заработной платы</w:t>
            </w:r>
          </w:p>
          <w:p w:rsidR="00A61077" w:rsidRPr="00A61077" w:rsidRDefault="00A61077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A61077">
              <w:rPr>
                <w:rFonts w:eastAsia="Calibri"/>
                <w:sz w:val="24"/>
                <w:szCs w:val="24"/>
              </w:rPr>
              <w:t xml:space="preserve">Утверждение изменений размера </w:t>
            </w:r>
            <w:r w:rsidRPr="00A61077">
              <w:rPr>
                <w:sz w:val="24"/>
                <w:szCs w:val="24"/>
              </w:rPr>
              <w:t xml:space="preserve">фонда оплаты труда </w:t>
            </w:r>
            <w:r w:rsidRPr="00A61077">
              <w:rPr>
                <w:rFonts w:eastAsia="Calibri"/>
                <w:sz w:val="24"/>
                <w:szCs w:val="24"/>
              </w:rPr>
              <w:t xml:space="preserve">АО Банк «Национальный стандарт», а также утверждение размеров должностных окладов членов Правления АО Банк «Национальный стандарт» (с ежемесячной надбавкой к окладу) в составе </w:t>
            </w:r>
            <w:r w:rsidRPr="00A61077">
              <w:rPr>
                <w:sz w:val="24"/>
                <w:szCs w:val="24"/>
              </w:rPr>
              <w:t>фонда оплаты труда Банка.</w:t>
            </w:r>
          </w:p>
          <w:p w:rsidR="00A61077" w:rsidRPr="00ED2487" w:rsidRDefault="00A61077" w:rsidP="00485A7E">
            <w:pPr>
              <w:numPr>
                <w:ilvl w:val="0"/>
                <w:numId w:val="5"/>
              </w:numPr>
              <w:autoSpaceDE/>
              <w:spacing w:after="120"/>
              <w:ind w:left="391" w:right="686" w:hanging="142"/>
              <w:jc w:val="both"/>
              <w:rPr>
                <w:sz w:val="24"/>
                <w:szCs w:val="24"/>
              </w:rPr>
            </w:pPr>
            <w:r w:rsidRPr="00A61077">
              <w:rPr>
                <w:rFonts w:eastAsia="Calibri"/>
                <w:sz w:val="24"/>
                <w:szCs w:val="24"/>
              </w:rPr>
              <w:t>Утверждение изменений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F25D10" w:rsidP="00F2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25D10" w:rsidP="00F2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E20E5"/>
    <w:rsid w:val="007F3257"/>
    <w:rsid w:val="007F674D"/>
    <w:rsid w:val="008037C9"/>
    <w:rsid w:val="0081103A"/>
    <w:rsid w:val="00863B9C"/>
    <w:rsid w:val="0088553E"/>
    <w:rsid w:val="008D7B46"/>
    <w:rsid w:val="008F3B4E"/>
    <w:rsid w:val="00983B87"/>
    <w:rsid w:val="009845A8"/>
    <w:rsid w:val="00A0244B"/>
    <w:rsid w:val="00A44EB1"/>
    <w:rsid w:val="00A56490"/>
    <w:rsid w:val="00A61077"/>
    <w:rsid w:val="00A719B0"/>
    <w:rsid w:val="00A84449"/>
    <w:rsid w:val="00AB1B5F"/>
    <w:rsid w:val="00AC3F63"/>
    <w:rsid w:val="00AD0A95"/>
    <w:rsid w:val="00B174EF"/>
    <w:rsid w:val="00B3237B"/>
    <w:rsid w:val="00B6057D"/>
    <w:rsid w:val="00B67937"/>
    <w:rsid w:val="00B93F1C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EAD4-2084-4F0B-91D2-60A6DC02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10</cp:revision>
  <cp:lastPrinted>2021-11-08T12:50:00Z</cp:lastPrinted>
  <dcterms:created xsi:type="dcterms:W3CDTF">2021-09-14T13:59:00Z</dcterms:created>
  <dcterms:modified xsi:type="dcterms:W3CDTF">2021-11-09T09:53:00Z</dcterms:modified>
</cp:coreProperties>
</file>